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DE5D6B">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3GPP TSG-RAN WG2 Meeting #131bis</w:t>
      </w:r>
      <w:r>
        <w:rPr>
          <w:rFonts w:ascii="Arial" w:hAnsi="Arial" w:eastAsia="MS Mincho" w:cs="Times New Roman"/>
          <w:b/>
          <w:sz w:val="24"/>
          <w:szCs w:val="24"/>
          <w:lang w:val="en-US" w:eastAsia="zh-CN" w:bidi="ar-SA"/>
        </w:rPr>
        <w:tab/>
      </w:r>
      <w:r>
        <w:rPr>
          <w:rFonts w:hint="eastAsia" w:ascii="Arial" w:hAnsi="Arial" w:eastAsia="MS Mincho" w:cs="Times New Roman"/>
          <w:b/>
          <w:sz w:val="24"/>
          <w:szCs w:val="24"/>
          <w:lang w:val="en-US" w:eastAsia="zh-CN" w:bidi="ar-SA"/>
        </w:rPr>
        <w:t>R2-2506853</w:t>
      </w:r>
      <w:bookmarkStart w:id="2" w:name="_GoBack"/>
      <w:bookmarkEnd w:id="2"/>
    </w:p>
    <w:p w14:paraId="53FE4CFA">
      <w:pPr>
        <w:widowControl w:val="0"/>
        <w:tabs>
          <w:tab w:val="left" w:pos="1701"/>
          <w:tab w:val="right" w:pos="9923"/>
        </w:tabs>
        <w:spacing w:before="120"/>
        <w:rPr>
          <w:rFonts w:ascii="Arial" w:hAnsi="Arial" w:eastAsia="MS Mincho" w:cs="Times New Roman"/>
          <w:b/>
          <w:sz w:val="24"/>
          <w:szCs w:val="24"/>
          <w:lang w:val="en-US" w:eastAsia="zh-CN" w:bidi="ar-SA"/>
        </w:rPr>
      </w:pPr>
      <w:r>
        <w:rPr>
          <w:rFonts w:ascii="Arial" w:hAnsi="Arial" w:eastAsia="MS Mincho" w:cs="Times New Roman"/>
          <w:b/>
          <w:sz w:val="24"/>
          <w:szCs w:val="24"/>
          <w:lang w:val="en-US" w:eastAsia="zh-CN" w:bidi="ar-SA"/>
        </w:rPr>
        <w:t>Prague, Czech Republic, Oct. 13</w:t>
      </w:r>
      <w:r>
        <w:rPr>
          <w:rFonts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US" w:eastAsia="zh-CN" w:bidi="ar-SA"/>
        </w:rPr>
        <w:t>-17</w:t>
      </w:r>
      <w:r>
        <w:rPr>
          <w:rFonts w:ascii="Arial" w:hAnsi="Arial" w:eastAsia="MS Mincho" w:cs="Times New Roman"/>
          <w:b/>
          <w:sz w:val="24"/>
          <w:szCs w:val="24"/>
          <w:vertAlign w:val="superscript"/>
          <w:lang w:val="en-US" w:eastAsia="zh-CN" w:bidi="ar-SA"/>
        </w:rPr>
        <w:t>th</w:t>
      </w:r>
      <w:r>
        <w:rPr>
          <w:rFonts w:ascii="Arial" w:hAnsi="Arial" w:eastAsia="MS Mincho" w:cs="Times New Roman"/>
          <w:b/>
          <w:sz w:val="24"/>
          <w:szCs w:val="24"/>
          <w:lang w:val="en-US" w:eastAsia="zh-CN" w:bidi="ar-SA"/>
        </w:rPr>
        <w:t xml:space="preserve"> </w:t>
      </w:r>
    </w:p>
    <w:p w14:paraId="2F9B299E">
      <w:pPr>
        <w:spacing w:before="40"/>
        <w:rPr>
          <w:rFonts w:ascii="Arial" w:hAnsi="Arial" w:eastAsia="MS Mincho" w:cs="Times New Roman"/>
          <w:i/>
          <w:sz w:val="18"/>
          <w:szCs w:val="24"/>
          <w:lang w:val="en-US" w:eastAsia="en-GB" w:bidi="ar-SA"/>
        </w:rPr>
      </w:pPr>
    </w:p>
    <w:p w14:paraId="0D9C8E95">
      <w:pPr>
        <w:spacing w:after="120"/>
        <w:ind w:left="1985" w:hanging="1985"/>
        <w:jc w:val="both"/>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w:t>
      </w:r>
    </w:p>
    <w:p w14:paraId="21191186">
      <w:pPr>
        <w:spacing w:after="120"/>
        <w:ind w:left="1985" w:hanging="1985"/>
        <w:jc w:val="both"/>
        <w:rPr>
          <w:rFonts w:hint="eastAsia" w:ascii="Times New Roman" w:hAnsi="Times New Roman" w:cs="Times New Roman"/>
          <w:b/>
          <w:sz w:val="24"/>
          <w:szCs w:val="24"/>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hint="eastAsia" w:ascii="Times New Roman" w:hAnsi="Times New Roman" w:cs="Times New Roman"/>
          <w:b/>
          <w:sz w:val="24"/>
          <w:szCs w:val="24"/>
          <w:lang w:val="en-US" w:eastAsia="zh-CN"/>
        </w:rPr>
        <w:t xml:space="preserve">Discussion on measurement and mobility framework for 6GR </w:t>
      </w:r>
    </w:p>
    <w:p w14:paraId="1DFE2CEF">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ascii="Times New Roman" w:hAnsi="Times New Roman" w:cs="Times New Roman"/>
          <w:b/>
          <w:sz w:val="24"/>
          <w:szCs w:val="24"/>
        </w:rPr>
        <w:t>10.4</w:t>
      </w:r>
    </w:p>
    <w:p w14:paraId="0284A75D">
      <w:pPr>
        <w:spacing w:after="120"/>
        <w:ind w:left="1985" w:hanging="1985"/>
        <w:jc w:val="both"/>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Discussion and decision</w:t>
      </w:r>
    </w:p>
    <w:p w14:paraId="110D03AC">
      <w:pPr>
        <w:pStyle w:val="2"/>
        <w:keepLines/>
        <w:numPr>
          <w:ilvl w:val="0"/>
          <w:numId w:val="3"/>
        </w:numPr>
        <w:pBdr>
          <w:top w:val="single" w:color="auto" w:sz="12" w:space="3"/>
        </w:pBdr>
        <w:overflowPunct w:val="0"/>
        <w:snapToGrid/>
        <w:spacing w:before="240" w:after="180"/>
        <w:ind w:left="432" w:hanging="432"/>
        <w:jc w:val="both"/>
        <w:textAlignment w:val="baseline"/>
        <w:rPr>
          <w:rFonts w:ascii="Times New Roman" w:hAnsi="Times New Roman"/>
          <w:szCs w:val="28"/>
        </w:rPr>
      </w:pPr>
      <w:r>
        <w:rPr>
          <w:rFonts w:ascii="Times New Roman" w:hAnsi="Times New Roman"/>
          <w:szCs w:val="28"/>
        </w:rPr>
        <w:t>Introduction</w:t>
      </w:r>
    </w:p>
    <w:p w14:paraId="44215B01">
      <w:pPr>
        <w:numPr>
          <w:ilvl w:val="0"/>
          <w:numId w:val="0"/>
        </w:numPr>
        <w:ind w:leftChars="0"/>
        <w:jc w:val="both"/>
        <w:rPr>
          <w:rFonts w:hint="eastAsia" w:ascii="Times New Roman" w:hAnsi="Times New Roman"/>
          <w:sz w:val="20"/>
          <w:szCs w:val="20"/>
          <w:lang w:val="en-US" w:eastAsia="zh-CN"/>
        </w:rPr>
      </w:pPr>
      <w:bookmarkStart w:id="0" w:name="_Toc54284460"/>
      <w:r>
        <w:rPr>
          <w:rFonts w:hint="default" w:ascii="Times New Roman" w:hAnsi="Times New Roman"/>
          <w:sz w:val="20"/>
          <w:szCs w:val="20"/>
          <w:lang w:eastAsia="zh-CN"/>
        </w:rPr>
        <w:t>According to the RAN Meeting #108</w:t>
      </w:r>
      <w:r>
        <w:rPr>
          <w:rFonts w:hint="default" w:ascii="Times New Roman" w:hAnsi="Times New Roman" w:eastAsia="宋体" w:cs="Times New Roman"/>
          <w:kern w:val="0"/>
          <w:sz w:val="20"/>
          <w:szCs w:val="20"/>
          <w:lang w:eastAsia="zh-Hans"/>
        </w:rPr>
        <w:t>[1]</w:t>
      </w:r>
      <w:r>
        <w:rPr>
          <w:rFonts w:hint="default" w:ascii="Times New Roman" w:hAnsi="Times New Roman" w:eastAsia="宋体" w:cs="Times New Roman"/>
          <w:kern w:val="0"/>
          <w:sz w:val="20"/>
          <w:szCs w:val="20"/>
          <w:lang w:val="en-US" w:eastAsia="zh-Hans"/>
        </w:rPr>
        <w:t xml:space="preserve">, </w:t>
      </w:r>
      <w:r>
        <w:rPr>
          <w:rFonts w:hint="default" w:ascii="Times New Roman" w:hAnsi="Times New Roman"/>
          <w:sz w:val="20"/>
          <w:szCs w:val="20"/>
          <w:lang w:eastAsia="zh-CN"/>
        </w:rPr>
        <w:t xml:space="preserve">the following </w:t>
      </w:r>
      <w:r>
        <w:rPr>
          <w:rFonts w:hint="eastAsia" w:ascii="Times New Roman Regular" w:hAnsi="Times New Roman Regular" w:cs="Times New Roman Regular"/>
          <w:i w:val="0"/>
          <w:iCs/>
          <w:color w:val="auto"/>
          <w:sz w:val="21"/>
          <w:szCs w:val="21"/>
          <w:lang w:val="en-US" w:eastAsia="zh-CN"/>
        </w:rPr>
        <w:t>objective</w:t>
      </w:r>
      <w:r>
        <w:rPr>
          <w:rFonts w:hint="default" w:ascii="Times New Roman Regular" w:hAnsi="Times New Roman Regular" w:cs="Times New Roman Regular"/>
          <w:i w:val="0"/>
          <w:iCs/>
          <w:color w:val="auto"/>
          <w:sz w:val="21"/>
          <w:szCs w:val="21"/>
          <w:lang w:val="en-US"/>
        </w:rPr>
        <w:t>s on</w:t>
      </w:r>
      <w:r>
        <w:rPr>
          <w:rFonts w:hint="eastAsia" w:ascii="Times New Roman" w:hAnsi="Times New Roman"/>
          <w:sz w:val="20"/>
          <w:szCs w:val="20"/>
          <w:lang w:val="en-US" w:eastAsia="zh-CN"/>
        </w:rPr>
        <w:t xml:space="preserve"> </w:t>
      </w:r>
      <w:r>
        <w:rPr>
          <w:rFonts w:hint="eastAsia" w:ascii="Times New Roman" w:hAnsi="Times New Roman" w:eastAsia="宋体" w:cs="Times New Roman"/>
          <w:kern w:val="0"/>
          <w:sz w:val="20"/>
          <w:szCs w:val="20"/>
          <w:lang w:val="en-US" w:eastAsia="zh-CN"/>
        </w:rPr>
        <w:t>New SID: Study on 6G Radio for the topic of 6G RAN architecture and Mobility</w:t>
      </w:r>
      <w:r>
        <w:rPr>
          <w:rFonts w:hint="default" w:ascii="Times New Roman Regular" w:hAnsi="Times New Roman Regular" w:cs="Times New Roman Regular"/>
          <w:i w:val="0"/>
          <w:iCs/>
          <w:color w:val="auto"/>
          <w:sz w:val="21"/>
          <w:szCs w:val="21"/>
        </w:rPr>
        <w:t xml:space="preserve"> are</w:t>
      </w:r>
      <w:r>
        <w:rPr>
          <w:rFonts w:hint="default" w:ascii="Times New Roman" w:hAnsi="Times New Roman"/>
          <w:sz w:val="20"/>
          <w:szCs w:val="20"/>
          <w:lang w:val="en-US" w:eastAsia="zh-CN"/>
        </w:rPr>
        <w:t xml:space="preserve"> </w:t>
      </w:r>
      <w:r>
        <w:rPr>
          <w:rFonts w:hint="eastAsia" w:ascii="Times New Roman" w:hAnsi="Times New Roman"/>
          <w:sz w:val="20"/>
          <w:szCs w:val="20"/>
          <w:lang w:val="en-US" w:eastAsia="zh-CN"/>
        </w:rPr>
        <w:t>reached:</w:t>
      </w:r>
    </w:p>
    <w:p w14:paraId="40967CEC">
      <w:pPr>
        <w:numPr>
          <w:ilvl w:val="0"/>
          <w:numId w:val="0"/>
        </w:numPr>
        <w:ind w:leftChars="0"/>
        <w:jc w:val="both"/>
        <w:rPr>
          <w:rFonts w:hint="default" w:ascii="Times New Roman" w:hAnsi="Times New Roman"/>
          <w:sz w:val="20"/>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5F018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1" w:type="dxa"/>
          </w:tcPr>
          <w:p w14:paraId="226AD89E">
            <w:pPr>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14:textFill>
                  <w14:solidFill>
                    <w14:schemeClr w14:val="tx1"/>
                  </w14:solidFill>
                </w14:textFill>
              </w:rPr>
              <w:t>The detailed objectives of the study are:</w:t>
            </w:r>
          </w:p>
          <w:p w14:paraId="6A50F98B">
            <w:pPr>
              <w:pStyle w:val="34"/>
              <w:numPr>
                <w:ilvl w:val="0"/>
                <w:numId w:val="4"/>
              </w:numPr>
              <w:spacing w:after="120"/>
              <w:rPr>
                <w:rFonts w:hint="default" w:ascii="Times New Roman Regular" w:hAnsi="Times New Roman Regular" w:cs="Times New Roman Regular"/>
                <w:color w:val="000000" w:themeColor="text1"/>
                <w:sz w:val="21"/>
                <w:szCs w:val="21"/>
                <w14:textFill>
                  <w14:solidFill>
                    <w14:schemeClr w14:val="tx1"/>
                  </w14:solidFill>
                </w14:textFill>
              </w:rPr>
            </w:pPr>
            <w:r>
              <w:rPr>
                <w:rFonts w:hint="default" w:ascii="Times New Roman Regular" w:hAnsi="Times New Roman Regular" w:cs="Times New Roman Regular"/>
                <w:color w:val="000000" w:themeColor="text1"/>
                <w:sz w:val="21"/>
                <w:szCs w:val="21"/>
                <w14:textFill>
                  <w14:solidFill>
                    <w14:schemeClr w14:val="tx1"/>
                  </w14:solidFill>
                </w14:textFill>
              </w:rPr>
              <w:t>Single technology framework based on a stand-alone architecture</w:t>
            </w:r>
            <w:r>
              <w:rPr>
                <w:rFonts w:hint="default" w:ascii="Times New Roman Regular" w:hAnsi="Times New Roman Regular" w:cs="Times New Roman Regular"/>
                <w:color w:val="000000" w:themeColor="text1"/>
                <w:sz w:val="21"/>
                <w:szCs w:val="21"/>
                <w:lang w:eastAsia="ja-JP"/>
                <w14:textFill>
                  <w14:solidFill>
                    <w14:schemeClr w14:val="tx1"/>
                  </w14:solidFill>
                </w14:textFill>
              </w:rPr>
              <w:t xml:space="preserve"> (Note1)</w:t>
            </w:r>
            <w:r>
              <w:rPr>
                <w:rFonts w:hint="default" w:ascii="Times New Roman Regular" w:hAnsi="Times New Roman Regular" w:cs="Times New Roman Regular"/>
                <w:color w:val="000000" w:themeColor="text1"/>
                <w:sz w:val="21"/>
                <w:szCs w:val="2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3F8F5DB">
            <w:pPr>
              <w:pStyle w:val="34"/>
              <w:numPr>
                <w:ilvl w:val="-1"/>
                <w:numId w:val="0"/>
              </w:numPr>
              <w:spacing w:after="120"/>
              <w:ind w:left="1080" w:firstLine="0"/>
              <w:rPr>
                <w:rFonts w:hint="default" w:ascii="Times New Roman Regular" w:hAnsi="Times New Roman Regular" w:cs="Times New Roman Regular"/>
                <w:color w:val="000000" w:themeColor="text1"/>
                <w:sz w:val="21"/>
                <w:szCs w:val="21"/>
                <w:shd w:val="clear" w:color="auto" w:fill="auto"/>
                <w14:textFill>
                  <w14:solidFill>
                    <w14:schemeClr w14:val="tx1"/>
                  </w14:solidFill>
                </w14:textFill>
              </w:rPr>
            </w:pPr>
            <w:r>
              <w:rPr>
                <w:rFonts w:hint="default" w:ascii="Times New Roman Regular" w:hAnsi="Times New Roman Regular" w:eastAsia="宋体" w:cs="Times New Roman Regular"/>
                <w:color w:val="000000" w:themeColor="text1"/>
                <w:sz w:val="21"/>
                <w:szCs w:val="21"/>
                <w:shd w:val="clear" w:color="auto" w:fill="auto"/>
                <w:lang w:eastAsia="zh-CN"/>
                <w14:textFill>
                  <w14:solidFill>
                    <w14:schemeClr w14:val="tx1"/>
                  </w14:solidFill>
                </w14:textFill>
              </w:rPr>
              <w:t>……</w:t>
            </w:r>
          </w:p>
          <w:p w14:paraId="5FB6D4BE">
            <w:pPr>
              <w:pStyle w:val="34"/>
              <w:numPr>
                <w:ilvl w:val="-1"/>
                <w:numId w:val="0"/>
              </w:numPr>
              <w:spacing w:after="120"/>
              <w:ind w:left="1080" w:firstLine="0"/>
              <w:rPr>
                <w:rFonts w:hint="default" w:ascii="Times New Roman Regular" w:hAnsi="Times New Roman Regular" w:cs="Times New Roman Regular"/>
                <w:color w:val="FF0000"/>
                <w:sz w:val="21"/>
                <w:szCs w:val="21"/>
                <w:shd w:val="clear" w:color="auto" w:fill="auto"/>
              </w:rPr>
            </w:pPr>
            <w:r>
              <w:rPr>
                <w:rFonts w:hint="default" w:ascii="Times New Roman Regular" w:hAnsi="Times New Roman Regular" w:cs="Times New Roman Regular"/>
                <w:color w:val="FF0000"/>
                <w:sz w:val="21"/>
                <w:szCs w:val="21"/>
                <w:shd w:val="clear" w:color="auto" w:fill="auto"/>
              </w:rPr>
              <w:t>System simplification, including reducing configuration complexity, enabling more efficient Cell/UE management, etc.</w:t>
            </w:r>
          </w:p>
          <w:p w14:paraId="2E8F7EE1">
            <w:pPr>
              <w:pStyle w:val="34"/>
              <w:numPr>
                <w:ilvl w:val="0"/>
                <w:numId w:val="4"/>
              </w:numPr>
              <w:spacing w:after="120"/>
              <w:rPr>
                <w:rFonts w:hint="default" w:ascii="Times New Roman Regular" w:hAnsi="Times New Roman Regular" w:cs="Times New Roman Regular"/>
                <w:color w:val="000000" w:themeColor="text1"/>
                <w:sz w:val="21"/>
                <w:szCs w:val="21"/>
                <w:shd w:val="clear" w:color="auto" w:fill="auto"/>
                <w14:textFill>
                  <w14:solidFill>
                    <w14:schemeClr w14:val="tx1"/>
                  </w14:solidFill>
                </w14:textFill>
              </w:rPr>
            </w:pPr>
            <w:r>
              <w:rPr>
                <w:rFonts w:hint="default" w:ascii="Times New Roman Regular" w:hAnsi="Times New Roman Regular" w:cs="Times New Roman Regular"/>
                <w:color w:val="000000" w:themeColor="text1"/>
                <w:sz w:val="21"/>
                <w:szCs w:val="21"/>
                <w:shd w:val="clear" w:color="auto" w:fill="auto"/>
                <w14:textFill>
                  <w14:solidFill>
                    <w14:schemeClr w14:val="tx1"/>
                  </w14:solidFill>
                </w14:textFill>
              </w:rPr>
              <w:t xml:space="preserve"> Radio interface protocol architecture and procedures for 6GR [RAN2, RAN1, RAN4, RAN3]</w:t>
            </w:r>
          </w:p>
          <w:p w14:paraId="7EBEB038">
            <w:pPr>
              <w:pStyle w:val="34"/>
              <w:numPr>
                <w:ilvl w:val="-1"/>
                <w:numId w:val="0"/>
              </w:numPr>
              <w:overflowPunct/>
              <w:autoSpaceDE/>
              <w:autoSpaceDN/>
              <w:adjustRightInd/>
              <w:spacing w:after="120"/>
              <w:ind w:left="1259" w:firstLine="0"/>
              <w:textAlignment w:val="auto"/>
              <w:rPr>
                <w:rFonts w:hint="default" w:ascii="Times New Roman Regular" w:hAnsi="Times New Roman Regular" w:eastAsia="宋体" w:cs="Times New Roman Regular"/>
                <w:color w:val="000000" w:themeColor="text1"/>
                <w:sz w:val="21"/>
                <w:szCs w:val="21"/>
                <w:shd w:val="clear" w:color="auto" w:fill="auto"/>
                <w:lang w:eastAsia="zh-CN"/>
                <w14:textFill>
                  <w14:solidFill>
                    <w14:schemeClr w14:val="tx1"/>
                  </w14:solidFill>
                </w14:textFill>
              </w:rPr>
            </w:pPr>
            <w:r>
              <w:rPr>
                <w:rFonts w:hint="default" w:ascii="Times New Roman Regular" w:hAnsi="Times New Roman Regular" w:eastAsia="宋体" w:cs="Times New Roman Regular"/>
                <w:color w:val="000000" w:themeColor="text1"/>
                <w:sz w:val="21"/>
                <w:szCs w:val="21"/>
                <w:shd w:val="clear" w:color="auto" w:fill="auto"/>
                <w:lang w:eastAsia="zh-CN"/>
                <w14:textFill>
                  <w14:solidFill>
                    <w14:schemeClr w14:val="tx1"/>
                  </w14:solidFill>
                </w14:textFill>
              </w:rPr>
              <w:t>……</w:t>
            </w:r>
          </w:p>
          <w:p w14:paraId="35D80160">
            <w:pPr>
              <w:pStyle w:val="34"/>
              <w:numPr>
                <w:ilvl w:val="-1"/>
                <w:numId w:val="0"/>
              </w:numPr>
              <w:overflowPunct/>
              <w:autoSpaceDE/>
              <w:autoSpaceDN/>
              <w:adjustRightInd/>
              <w:spacing w:after="120"/>
              <w:ind w:left="1259" w:firstLine="0"/>
              <w:textAlignment w:val="auto"/>
              <w:rPr>
                <w:rFonts w:hint="default" w:ascii="Times New Roman" w:hAnsi="Times New Roman" w:eastAsia="MS Mincho" w:cs="Times New Roman"/>
                <w:b/>
                <w:sz w:val="20"/>
                <w:szCs w:val="20"/>
                <w:vertAlign w:val="baseline"/>
                <w:lang w:val="en-GB" w:eastAsia="zh-Hans" w:bidi="ar-SA"/>
              </w:rPr>
            </w:pPr>
            <w:r>
              <w:rPr>
                <w:rFonts w:hint="default" w:ascii="Times New Roman Regular" w:hAnsi="Times New Roman Regular" w:cs="Times New Roman Regular"/>
                <w:color w:val="FF0000"/>
                <w:sz w:val="21"/>
                <w:szCs w:val="21"/>
                <w:shd w:val="clear" w:color="auto" w:fill="auto"/>
              </w:rPr>
              <w:t>Mobility for 6GR (for all RRC states), including related RRM [RAN2, RAN1, RAN4, RAN3]</w:t>
            </w:r>
          </w:p>
        </w:tc>
      </w:tr>
    </w:tbl>
    <w:p w14:paraId="4D3B5890">
      <w:pPr>
        <w:widowControl w:val="0"/>
        <w:numPr>
          <w:ilvl w:val="0"/>
          <w:numId w:val="0"/>
        </w:numPr>
        <w:bidi w:val="0"/>
        <w:jc w:val="both"/>
        <w:rPr>
          <w:rFonts w:hint="default" w:ascii="Times New Roman Regular" w:hAnsi="Times New Roman Regular" w:cs="Times New Roman Regular"/>
          <w:szCs w:val="21"/>
        </w:rPr>
      </w:pPr>
    </w:p>
    <w:p w14:paraId="7FA58933">
      <w:pPr>
        <w:widowControl/>
        <w:overflowPunct w:val="0"/>
        <w:autoSpaceDE w:val="0"/>
        <w:autoSpaceDN w:val="0"/>
        <w:adjustRightInd w:val="0"/>
        <w:spacing w:after="180"/>
        <w:jc w:val="both"/>
        <w:textAlignment w:val="baseline"/>
        <w:rPr>
          <w:rFonts w:hint="eastAsia" w:ascii="Times New Roman" w:hAnsi="Times New Roman" w:cs="Times New Roman"/>
          <w:lang w:val="en-US" w:eastAsia="zh-CN"/>
        </w:rPr>
      </w:pPr>
      <w:r>
        <w:rPr>
          <w:rFonts w:hint="eastAsia" w:ascii="Times New Roman" w:hAnsi="Times New Roman" w:cs="Times New Roman"/>
          <w:lang w:val="en-US" w:eastAsia="zh-CN"/>
        </w:rPr>
        <w:t>In this contribution, we aim to discuss measurement and mobility principles for 6G.</w:t>
      </w:r>
    </w:p>
    <w:bookmarkEnd w:id="0"/>
    <w:p w14:paraId="57DCD879">
      <w:pPr>
        <w:pStyle w:val="2"/>
        <w:keepLines/>
        <w:numPr>
          <w:ilvl w:val="0"/>
          <w:numId w:val="3"/>
        </w:numPr>
        <w:pBdr>
          <w:top w:val="single" w:color="auto" w:sz="12" w:space="3"/>
        </w:pBdr>
        <w:overflowPunct w:val="0"/>
        <w:snapToGrid/>
        <w:spacing w:before="240" w:after="180"/>
        <w:ind w:left="432" w:hanging="432"/>
        <w:jc w:val="both"/>
        <w:textAlignment w:val="baseline"/>
        <w:rPr>
          <w:rFonts w:hint="eastAsia" w:ascii="Times New Roman" w:hAnsi="Times New Roman" w:eastAsia="宋体"/>
          <w:szCs w:val="28"/>
          <w:lang w:val="en-US" w:eastAsia="zh-CN"/>
        </w:rPr>
      </w:pPr>
      <w:r>
        <w:rPr>
          <w:rFonts w:hint="eastAsia" w:ascii="Times New Roman" w:hAnsi="Times New Roman" w:eastAsia="宋体"/>
          <w:szCs w:val="28"/>
          <w:lang w:val="en-US" w:eastAsia="zh-CN"/>
        </w:rPr>
        <w:t>Discussion</w:t>
      </w:r>
    </w:p>
    <w:p w14:paraId="51799AC0">
      <w:pPr>
        <w:pStyle w:val="3"/>
        <w:numPr>
          <w:ilvl w:val="0"/>
          <w:numId w:val="0"/>
        </w:numPr>
        <w:bidi w:val="0"/>
        <w:ind w:leftChars="0"/>
        <w:rPr>
          <w:rFonts w:hint="default" w:ascii="Times New Roman Bold" w:hAnsi="Times New Roman Bold" w:cs="Times New Roman Bold"/>
          <w:b/>
          <w:bCs/>
          <w:sz w:val="22"/>
          <w:szCs w:val="44"/>
          <w:lang w:val="en-US" w:eastAsia="zh-CN"/>
        </w:rPr>
      </w:pPr>
      <w:r>
        <w:rPr>
          <w:rFonts w:hint="default" w:ascii="Times New Roman Bold" w:hAnsi="Times New Roman Bold" w:cs="Times New Roman Bold"/>
          <w:b/>
          <w:bCs/>
          <w:sz w:val="22"/>
          <w:szCs w:val="44"/>
          <w:lang w:val="en-US" w:eastAsia="zh-CN"/>
        </w:rPr>
        <w:t>2.1</w:t>
      </w:r>
      <w:r>
        <w:rPr>
          <w:rFonts w:hint="eastAsia" w:ascii="Times New Roman Bold" w:hAnsi="Times New Roman Bold" w:cs="Times New Roman Bold"/>
          <w:b/>
          <w:bCs/>
          <w:sz w:val="22"/>
          <w:szCs w:val="44"/>
          <w:lang w:val="en-US" w:eastAsia="zh-CN"/>
        </w:rPr>
        <w:t xml:space="preserve">  </w:t>
      </w:r>
      <w:r>
        <w:rPr>
          <w:rFonts w:hint="default" w:ascii="Times New Roman Bold" w:hAnsi="Times New Roman Bold" w:cs="Times New Roman Bold"/>
          <w:b/>
          <w:bCs/>
          <w:sz w:val="22"/>
          <w:szCs w:val="44"/>
          <w:lang w:val="en-US" w:eastAsia="zh-CN"/>
        </w:rPr>
        <w:t>Discussion on measurement framework for 6G</w:t>
      </w:r>
    </w:p>
    <w:p w14:paraId="2C92D61F">
      <w:pPr>
        <w:rPr>
          <w:rFonts w:hint="eastAsia" w:ascii="Times New Roman" w:hAnsi="Times New Roman"/>
          <w:lang w:val="en-US" w:eastAsia="zh-CN"/>
        </w:rPr>
      </w:pPr>
      <w:r>
        <w:rPr>
          <w:rFonts w:hint="eastAsia" w:ascii="Times New Roman" w:hAnsi="Times New Roman"/>
          <w:lang w:val="en-US" w:eastAsia="zh-CN"/>
        </w:rPr>
        <w:t>In 5G NR, the Radio Resource Control (RRC) layer is responsible for configuring UE measurement procedures. Based on RRC configuration, the UE measures downlink reference signals such as Synchronization Signal Blocks (SSBs) and CSI-RS, applies Layer 3 filtering, and evaluates whether the reporting conditions are met. Measurement reports are triggered according to event criteria (e.g., thresholds and hysteresis) configured by RRC. Upon reception of a measurement report, the network evaluates factors such as signal strength, load, and UE mobility to select the optimal handover target.</w:t>
      </w:r>
    </w:p>
    <w:p w14:paraId="717345D0">
      <w:pPr>
        <w:rPr>
          <w:rFonts w:hint="eastAsia" w:ascii="Times New Roman" w:hAnsi="Times New Roman"/>
          <w:lang w:val="en-US" w:eastAsia="zh-CN"/>
        </w:rPr>
      </w:pPr>
    </w:p>
    <w:p w14:paraId="50758B06">
      <w:pPr>
        <w:rPr>
          <w:rFonts w:hint="eastAsia" w:ascii="Times New Roman" w:hAnsi="Times New Roman"/>
          <w:lang w:val="en-US" w:eastAsia="zh-CN"/>
        </w:rPr>
      </w:pPr>
      <w:r>
        <w:rPr>
          <w:rFonts w:hint="eastAsia" w:ascii="Times New Roman" w:hAnsi="Times New Roman"/>
          <w:lang w:val="en-US" w:eastAsia="zh-CN"/>
        </w:rPr>
        <w:t>In addition, 5G introduces massive MIMO and beamforming, which requires beam-level measurements and management at the PHY/MAC layers. Beam-level mobility enables the UE to switch beams within the same cell or across transmission points to maintain link quality. This process can be executed at Layer 1/Layer 2 without explicit RRC signaling for each beam change. Specifically, the gNB configures beam management reference signals (e.g., SSB bursts or CSI-RS resources), which the UE measures to identify the optimal beam. When the serving beam degrades below a failure threshold, the UE may switch to another beam within the serving cell or to a neighboring TRP via PHY/MAC signaling, without explicit RRC instructions. In lower-layer triggered mobility (LTM) procedures, L1 beam measurements may also be used by the network to support handover decision-making.</w:t>
      </w:r>
    </w:p>
    <w:p w14:paraId="4643EE94">
      <w:pPr>
        <w:rPr>
          <w:rFonts w:hint="eastAsia" w:ascii="Times New Roman" w:hAnsi="Times New Roman"/>
          <w:lang w:val="en-US" w:eastAsia="zh-CN"/>
        </w:rPr>
      </w:pPr>
    </w:p>
    <w:p w14:paraId="19BCF772">
      <w:pPr>
        <w:rPr>
          <w:rFonts w:hint="eastAsia" w:ascii="Times New Roman" w:hAnsi="Times New Roman"/>
          <w:lang w:val="en-US" w:eastAsia="zh-CN"/>
        </w:rPr>
      </w:pPr>
      <w:r>
        <w:rPr>
          <w:rFonts w:hint="eastAsia" w:ascii="Times New Roman" w:hAnsi="Times New Roman"/>
          <w:lang w:val="en-US" w:eastAsia="zh-CN"/>
        </w:rPr>
        <w:t>Currently, 5G systems employ two parallel measurement frameworks: (i) RRM-oriented cell-level measurements at L3 (configured by RRC events), and (ii) beam management measurements at L1 (included in CSI feedback). These frameworks operate independently, with separate configurations and reporting mechanisms, leading to redundancy and implementation complexity. For example, a gNB may need to configure SSB-RSRP measurements for cell selection as well as CSI-RS measurements for beam management or L1/L2 triggered handover, while the UE must maintain both L3 filtered reporting and L1 instantaneous reporting.</w:t>
      </w:r>
    </w:p>
    <w:p w14:paraId="7731C7DB">
      <w:pPr>
        <w:rPr>
          <w:rFonts w:hint="eastAsia" w:ascii="Times New Roman" w:hAnsi="Times New Roman"/>
          <w:lang w:val="en-US" w:eastAsia="zh-CN"/>
        </w:rPr>
      </w:pPr>
    </w:p>
    <w:p w14:paraId="1C0AAB13">
      <w:pPr>
        <w:rPr>
          <w:rFonts w:hint="eastAsia" w:ascii="Times New Roman" w:hAnsi="Times New Roman"/>
          <w:lang w:val="en-US" w:eastAsia="zh-CN"/>
        </w:rPr>
      </w:pPr>
      <w:r>
        <w:rPr>
          <w:rFonts w:hint="default" w:ascii="Times New Roman Bold" w:hAnsi="Times New Roman Bold" w:cs="Times New Roman Bold"/>
          <w:b/>
          <w:bCs/>
          <w:lang w:val="en-US" w:eastAsia="zh-CN"/>
        </w:rPr>
        <w:t>Observation 1</w:t>
      </w:r>
      <w:r>
        <w:rPr>
          <w:rFonts w:hint="eastAsia" w:ascii="Times New Roman Bold" w:hAnsi="Times New Roman Bold" w:cs="Times New Roman Bold"/>
          <w:b/>
          <w:bCs/>
          <w:lang w:val="en-US" w:eastAsia="zh-CN"/>
        </w:rPr>
        <w:t>：</w:t>
      </w:r>
      <w:r>
        <w:rPr>
          <w:rFonts w:hint="eastAsia" w:ascii="Times New Roman" w:hAnsi="Times New Roman"/>
          <w:b/>
          <w:bCs/>
          <w:lang w:val="en-US" w:eastAsia="zh-CN"/>
        </w:rPr>
        <w:t xml:space="preserve">In the existing 5G architecture, there are two separate measurement systems: one for RRM at cell level (L3, event-based RRC configuration), and another for beam management at PHY level (L1, CSI-based). These systems are independent and not fully integrated, resulting in additional complexity for UE implementation and network optimization. </w:t>
      </w:r>
    </w:p>
    <w:p w14:paraId="1C4BD622">
      <w:pPr>
        <w:rPr>
          <w:rFonts w:hint="eastAsia" w:ascii="Times New Roman" w:hAnsi="Times New Roman"/>
          <w:lang w:val="en-US" w:eastAsia="zh-CN"/>
        </w:rPr>
      </w:pPr>
    </w:p>
    <w:p w14:paraId="28767A13">
      <w:pPr>
        <w:rPr>
          <w:rFonts w:hint="eastAsia" w:ascii="Times New Roman" w:hAnsi="Times New Roman"/>
          <w:lang w:val="en-US" w:eastAsia="zh-CN"/>
        </w:rPr>
      </w:pPr>
      <w:r>
        <w:rPr>
          <w:rFonts w:hint="eastAsia" w:ascii="Times New Roman" w:hAnsi="Times New Roman"/>
          <w:lang w:val="en-US" w:eastAsia="zh-CN"/>
        </w:rPr>
        <w:t>On the other hand, there is redundant measurement of the same target by L1 and L3 measurements in 5G. For instance, L1 measures RSRP, and L3 also conducts secondary statistics on RSRP for verification purposes. Additionally, the data reporting path is redundant. Such waste will be infinitely amplified in 6G scenarios. Specifically, in the 6G massive connectivity scenario, the redundant measurements and redundant reporting of the two sets of architectures in 5G will cause a great deal of resource waste and delay. Therefore, this layered measurement architecture cannot support the complex network, extreme service requirements, and resource efficiency demands of 6G. In 6G scenarios wi</w:t>
      </w:r>
      <w:r>
        <w:rPr>
          <w:rFonts w:hint="eastAsia" w:ascii="Times New Roman" w:hAnsi="Times New Roman"/>
          <w:color w:val="000000" w:themeColor="text1"/>
          <w:lang w:val="en-US" w:eastAsia="zh-CN"/>
          <w14:textFill>
            <w14:solidFill>
              <w14:schemeClr w14:val="tx1"/>
            </w14:solidFill>
          </w14:textFill>
        </w:rPr>
        <w:t xml:space="preserve">th wider frequency ranges, denser deployments, and more frequent mobility events, continuing </w:t>
      </w:r>
      <w:r>
        <w:rPr>
          <w:rFonts w:hint="eastAsia" w:ascii="Times New Roman" w:hAnsi="Times New Roman"/>
          <w:lang w:val="en-US" w:eastAsia="zh-CN"/>
        </w:rPr>
        <w:t>with this dual measurement framework may not efficiently support real-time decision-making, and maintaining separate mechanisms increases protocol and implementation burden.</w:t>
      </w:r>
    </w:p>
    <w:p w14:paraId="246D6A86">
      <w:pPr>
        <w:rPr>
          <w:rFonts w:hint="eastAsia" w:ascii="Times New Roman" w:hAnsi="Times New Roman"/>
          <w:lang w:val="en-US" w:eastAsia="zh-CN"/>
        </w:rPr>
      </w:pPr>
    </w:p>
    <w:p w14:paraId="1E55E078">
      <w:pPr>
        <w:rPr>
          <w:rFonts w:hint="eastAsia" w:ascii="Times New Roman" w:hAnsi="Times New Roman"/>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2：</w:t>
      </w:r>
      <w:r>
        <w:rPr>
          <w:rFonts w:hint="eastAsia" w:ascii="Times New Roman" w:hAnsi="Times New Roman"/>
          <w:b/>
          <w:bCs/>
          <w:lang w:val="en-US" w:eastAsia="zh-CN"/>
        </w:rPr>
        <w:t>The separate measurement systems(L1 based and L3 based measurement) may result in redundant measurement and report, which is unlikely to meet the stringent mobility requirements of 6G, especially under high-frequency and ultra-dense deployment scenarios.</w:t>
      </w:r>
    </w:p>
    <w:p w14:paraId="0159C78A">
      <w:pPr>
        <w:rPr>
          <w:rFonts w:hint="eastAsia" w:ascii="Times New Roman" w:hAnsi="Times New Roman"/>
          <w:lang w:val="en-US" w:eastAsia="zh-CN"/>
        </w:rPr>
      </w:pPr>
    </w:p>
    <w:p w14:paraId="189CC57D">
      <w:pPr>
        <w:numPr>
          <w:ilvl w:val="0"/>
          <w:numId w:val="0"/>
        </w:numPr>
        <w:ind w:leftChars="0"/>
        <w:rPr>
          <w:rFonts w:hint="eastAsia" w:ascii="Times New Roman" w:hAnsi="Times New Roman"/>
          <w:b w:val="0"/>
          <w:bCs w:val="0"/>
          <w:lang w:val="en-US" w:eastAsia="zh-CN"/>
        </w:rPr>
      </w:pPr>
      <w:r>
        <w:rPr>
          <w:rFonts w:hint="eastAsia" w:ascii="Times New Roman" w:hAnsi="Times New Roman"/>
          <w:b w:val="0"/>
          <w:bCs w:val="0"/>
          <w:lang w:val="en-US" w:eastAsia="zh-CN"/>
        </w:rPr>
        <w:t>According to the objective of 6G new SID[1] and SA1</w:t>
      </w:r>
      <w:r>
        <w:rPr>
          <w:rFonts w:hint="default" w:ascii="Times New Roman" w:hAnsi="Times New Roman"/>
          <w:b w:val="0"/>
          <w:bCs w:val="0"/>
          <w:lang w:val="en-US" w:eastAsia="zh-CN"/>
        </w:rPr>
        <w:t>’</w:t>
      </w:r>
      <w:r>
        <w:rPr>
          <w:rFonts w:hint="eastAsia" w:ascii="Times New Roman" w:hAnsi="Times New Roman"/>
          <w:b w:val="0"/>
          <w:bCs w:val="0"/>
          <w:lang w:val="en-US" w:eastAsia="zh-CN"/>
        </w:rPr>
        <w:t xml:space="preserve">s requirement for 6G[2], </w:t>
      </w:r>
      <w:r>
        <w:rPr>
          <w:rFonts w:hint="default" w:ascii="Times New Roman" w:hAnsi="Times New Roman"/>
          <w:b w:val="0"/>
          <w:bCs w:val="0"/>
          <w:lang w:val="en-US" w:eastAsia="zh-CN"/>
        </w:rPr>
        <w:t>“</w:t>
      </w:r>
      <w:r>
        <w:rPr>
          <w:rFonts w:hint="eastAsia" w:ascii="Times New Roman" w:hAnsi="Times New Roman"/>
          <w:b w:val="0"/>
          <w:bCs w:val="0"/>
          <w:lang w:val="en-US" w:eastAsia="zh-CN"/>
        </w:rPr>
        <w:t>System simplification, including reducing configuration complexity, enabling more efficient Cell/UE management, etc</w:t>
      </w:r>
      <w:r>
        <w:rPr>
          <w:rFonts w:hint="default" w:ascii="Times New Roman" w:hAnsi="Times New Roman"/>
          <w:b w:val="0"/>
          <w:bCs w:val="0"/>
          <w:lang w:val="en-US" w:eastAsia="zh-CN"/>
        </w:rPr>
        <w:t>”</w:t>
      </w:r>
      <w:r>
        <w:rPr>
          <w:rFonts w:hint="eastAsia" w:ascii="Times New Roman" w:hAnsi="Times New Roman"/>
          <w:b w:val="0"/>
          <w:bCs w:val="0"/>
          <w:lang w:val="en-US" w:eastAsia="zh-CN"/>
        </w:rPr>
        <w:t xml:space="preserve">. In this case, a unified </w:t>
      </w:r>
      <w:r>
        <w:rPr>
          <w:rFonts w:hint="eastAsia" w:ascii="Times New Roman" w:hAnsi="Times New Roman"/>
          <w:b w:val="0"/>
          <w:bCs w:val="0"/>
          <w:color w:val="000000" w:themeColor="text1"/>
          <w:lang w:val="en-US" w:eastAsia="zh-CN"/>
          <w14:textFill>
            <w14:solidFill>
              <w14:schemeClr w14:val="tx1"/>
            </w14:solidFill>
          </w14:textFill>
        </w:rPr>
        <w:t>measurement framework in 6G</w:t>
      </w:r>
      <w:r>
        <w:rPr>
          <w:rFonts w:hint="eastAsia" w:ascii="Times New Roman" w:hAnsi="Times New Roman"/>
          <w:b w:val="0"/>
          <w:bCs w:val="0"/>
          <w:lang w:val="en-US" w:eastAsia="zh-CN"/>
        </w:rPr>
        <w:t xml:space="preserve"> can be considered. </w:t>
      </w:r>
      <w:r>
        <w:rPr>
          <w:rFonts w:hint="default" w:ascii="Times New Roman" w:hAnsi="Times New Roman" w:cs="Times New Roman"/>
          <w:b w:val="0"/>
          <w:bCs w:val="0"/>
          <w:u w:val="none"/>
          <w:lang w:val="en-US" w:eastAsia="zh-CN"/>
        </w:rPr>
        <w:t xml:space="preserve">This framework should provide a single solution applicable to both beam-level and cell-level </w:t>
      </w:r>
      <w:r>
        <w:rPr>
          <w:rFonts w:hint="eastAsia" w:ascii="Times New Roman" w:hAnsi="Times New Roman" w:cs="Times New Roman"/>
          <w:b w:val="0"/>
          <w:bCs w:val="0"/>
          <w:u w:val="none"/>
          <w:lang w:val="en-US" w:eastAsia="zh-CN"/>
        </w:rPr>
        <w:t>measurement</w:t>
      </w:r>
      <w:r>
        <w:rPr>
          <w:rFonts w:hint="default" w:ascii="Times New Roman" w:hAnsi="Times New Roman" w:cs="Times New Roman"/>
          <w:b w:val="0"/>
          <w:bCs w:val="0"/>
          <w:u w:val="none"/>
          <w:lang w:val="en-US" w:eastAsia="zh-CN"/>
        </w:rPr>
        <w:t>, thereby simplifying procedures, reducing latency, and improving reliability to meet future 6G measurement requirements.</w:t>
      </w:r>
      <w:r>
        <w:rPr>
          <w:rFonts w:hint="eastAsia" w:ascii="Times New Roman" w:hAnsi="Times New Roman" w:cs="Times New Roman"/>
          <w:b w:val="0"/>
          <w:bCs w:val="0"/>
          <w:u w:val="none"/>
          <w:lang w:val="en-US" w:eastAsia="zh-CN"/>
        </w:rPr>
        <w:t xml:space="preserve"> For example,</w:t>
      </w:r>
      <w:r>
        <w:rPr>
          <w:rFonts w:hint="eastAsia" w:ascii="Times New Roman" w:hAnsi="Times New Roman"/>
          <w:b w:val="0"/>
          <w:bCs w:val="0"/>
          <w:lang w:val="en-US" w:eastAsia="zh-CN"/>
        </w:rPr>
        <w:t xml:space="preserve"> a unified measurement framework in 6G that integrates L3 RRM and L1 CSI/beam measurements may take the following principle:</w:t>
      </w:r>
    </w:p>
    <w:p w14:paraId="3BA5BE60">
      <w:pPr>
        <w:numPr>
          <w:ilvl w:val="0"/>
          <w:numId w:val="5"/>
        </w:numPr>
        <w:ind w:left="420" w:hanging="420"/>
        <w:rPr>
          <w:rFonts w:hint="eastAsia" w:ascii="Times New Roman" w:hAnsi="Times New Roman"/>
          <w:b w:val="0"/>
          <w:bCs w:val="0"/>
          <w:lang w:val="en-US" w:eastAsia="zh-CN"/>
        </w:rPr>
      </w:pPr>
      <w:r>
        <w:rPr>
          <w:rFonts w:hint="eastAsia" w:ascii="Times New Roman" w:hAnsi="Times New Roman"/>
          <w:b w:val="0"/>
          <w:bCs w:val="0"/>
          <w:lang w:val="en-US" w:eastAsia="zh-CN"/>
        </w:rPr>
        <w:t>The gNB configures a common set of reference signals (e.g., SSBs, CSI-RS) covering both cell-level and beam-level measurements.</w:t>
      </w:r>
    </w:p>
    <w:p w14:paraId="4790819C">
      <w:pPr>
        <w:numPr>
          <w:ilvl w:val="0"/>
          <w:numId w:val="5"/>
        </w:numPr>
        <w:ind w:left="420" w:hanging="420"/>
        <w:rPr>
          <w:rFonts w:hint="eastAsia" w:ascii="Times New Roman" w:hAnsi="Times New Roman"/>
          <w:b w:val="0"/>
          <w:bCs w:val="0"/>
          <w:lang w:val="en-US" w:eastAsia="zh-CN"/>
        </w:rPr>
      </w:pPr>
      <w:r>
        <w:rPr>
          <w:rFonts w:hint="eastAsia" w:ascii="Times New Roman" w:hAnsi="Times New Roman"/>
          <w:b w:val="0"/>
          <w:bCs w:val="0"/>
          <w:lang w:val="en-US" w:eastAsia="zh-CN"/>
        </w:rPr>
        <w:t>Unified measurement triggers (thresholds, events, periodicity) and unified reporting formats are applied.</w:t>
      </w:r>
    </w:p>
    <w:p w14:paraId="581F726F">
      <w:pPr>
        <w:numPr>
          <w:ilvl w:val="0"/>
          <w:numId w:val="5"/>
        </w:numPr>
        <w:ind w:left="420" w:hanging="420"/>
        <w:rPr>
          <w:rFonts w:hint="eastAsia" w:ascii="Times New Roman" w:hAnsi="Times New Roman"/>
          <w:b w:val="0"/>
          <w:bCs w:val="0"/>
          <w:lang w:val="en-US" w:eastAsia="zh-CN"/>
        </w:rPr>
      </w:pPr>
      <w:r>
        <w:rPr>
          <w:rFonts w:hint="eastAsia" w:ascii="Times New Roman" w:hAnsi="Times New Roman"/>
          <w:b w:val="0"/>
          <w:bCs w:val="0"/>
          <w:lang w:val="en-US" w:eastAsia="zh-CN"/>
        </w:rPr>
        <w:t>The UE measures once and reports once via a single uplink control channel, enabling “one report for multiple purposes,” covering both traditional RRM and beam management requirements.</w:t>
      </w:r>
    </w:p>
    <w:p w14:paraId="1388D340">
      <w:pPr>
        <w:numPr>
          <w:ilvl w:val="0"/>
          <w:numId w:val="0"/>
        </w:numPr>
        <w:ind w:leftChars="0"/>
        <w:rPr>
          <w:rFonts w:hint="eastAsia" w:ascii="Times New Roman" w:hAnsi="Times New Roman" w:cs="Times New Roman"/>
          <w:b w:val="0"/>
          <w:bCs w:val="0"/>
          <w:u w:val="none"/>
          <w:lang w:val="en-US" w:eastAsia="zh-CN"/>
        </w:rPr>
      </w:pPr>
    </w:p>
    <w:p w14:paraId="28F43AE5">
      <w:pPr>
        <w:rPr>
          <w:rFonts w:hint="eastAsia" w:ascii="Times New Roman" w:hAnsi="Times New Roman"/>
          <w:lang w:val="en-US" w:eastAsia="zh-CN"/>
        </w:rPr>
      </w:pPr>
      <w:r>
        <w:rPr>
          <w:rFonts w:hint="eastAsia" w:ascii="Times New Roman" w:hAnsi="Times New Roman"/>
          <w:lang w:val="en-US" w:eastAsia="zh-CN"/>
        </w:rPr>
        <w:t>This unified approach eliminates redundant measurements and reporting, simplifying procedures and reducing latency. Furthermore, it allows flexible measurement strategies (e.g., higher reporting frequency in URLLC scenarios or long-term averaging in stable conditions) and facilitates integration with AI-based algorithms for more accurate link state assessment. By consolidating measurement and reporting, the framework enhances efficiency, reduces signaling overhead, and provides timely and comprehensive input for handover decisions.</w:t>
      </w:r>
    </w:p>
    <w:p w14:paraId="50B733C3">
      <w:pPr>
        <w:rPr>
          <w:rFonts w:hint="eastAsia" w:ascii="Times New Roman Bold" w:hAnsi="Times New Roman Bold" w:cs="Times New Roman Bold"/>
          <w:b/>
          <w:bCs/>
          <w:highlight w:val="none"/>
          <w:u w:val="none"/>
          <w:lang w:val="en-US" w:eastAsia="zh-CN"/>
        </w:rPr>
      </w:pPr>
    </w:p>
    <w:p w14:paraId="610B0ABF">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 xml:space="preserve">Proposal 1: </w:t>
      </w:r>
      <w:r>
        <w:rPr>
          <w:rFonts w:hint="eastAsia" w:ascii="Times New Roman Bold" w:hAnsi="Times New Roman Bold" w:cs="Times New Roman Bold"/>
          <w:b/>
          <w:bCs/>
          <w:highlight w:val="none"/>
          <w:u w:val="none"/>
          <w:lang w:val="en-US" w:eastAsia="zh-CN"/>
        </w:rPr>
        <w:t xml:space="preserve">To </w:t>
      </w:r>
      <w:r>
        <w:rPr>
          <w:rFonts w:hint="default" w:ascii="Times New Roman Bold" w:hAnsi="Times New Roman Bold" w:cs="Times New Roman Bold"/>
          <w:b/>
          <w:bCs/>
          <w:lang w:val="en-US" w:eastAsia="zh-CN"/>
        </w:rPr>
        <w:t xml:space="preserve">eliminate redundant measurements and reporting, simplify procedures and reduce latency </w:t>
      </w:r>
      <w:r>
        <w:rPr>
          <w:rFonts w:hint="eastAsia" w:ascii="Times New Roman Bold" w:hAnsi="Times New Roman Bold" w:cs="Times New Roman Bold"/>
          <w:b/>
          <w:bCs/>
          <w:highlight w:val="none"/>
          <w:u w:val="none"/>
          <w:lang w:val="en-US" w:eastAsia="zh-CN"/>
        </w:rPr>
        <w:t>to meet future 6G measurement requirements, i</w:t>
      </w:r>
      <w:r>
        <w:rPr>
          <w:rFonts w:hint="default" w:ascii="Times New Roman Bold" w:hAnsi="Times New Roman Bold" w:cs="Times New Roman Bold"/>
          <w:b/>
          <w:bCs/>
          <w:highlight w:val="none"/>
          <w:u w:val="none"/>
          <w:lang w:val="en-US" w:eastAsia="zh-CN"/>
        </w:rPr>
        <w:t>t is proposed to design a unified L3 RRM and L1 CSI/beam measurement framework for 6G</w:t>
      </w:r>
      <w:r>
        <w:rPr>
          <w:rFonts w:hint="eastAsia" w:ascii="Times New Roman Bold" w:hAnsi="Times New Roman Bold" w:cs="Times New Roman Bold"/>
          <w:b/>
          <w:bCs/>
          <w:highlight w:val="none"/>
          <w:u w:val="none"/>
          <w:lang w:val="en-US" w:eastAsia="zh-CN"/>
        </w:rPr>
        <w:t>.</w:t>
      </w:r>
    </w:p>
    <w:p w14:paraId="1E06EEA5">
      <w:pPr>
        <w:rPr>
          <w:rFonts w:hint="default" w:ascii="Times New Roman Bold" w:hAnsi="Times New Roman Bold" w:cs="Times New Roman Bold"/>
          <w:b/>
          <w:bCs/>
          <w:highlight w:val="none"/>
          <w:u w:val="none"/>
          <w:lang w:val="en-US" w:eastAsia="zh-CN"/>
        </w:rPr>
      </w:pPr>
    </w:p>
    <w:p w14:paraId="29DBA712">
      <w:pPr>
        <w:pStyle w:val="3"/>
        <w:numPr>
          <w:ilvl w:val="0"/>
          <w:numId w:val="0"/>
        </w:numPr>
        <w:bidi w:val="0"/>
        <w:ind w:leftChars="0"/>
        <w:rPr>
          <w:rFonts w:hint="default" w:ascii="Times New Roman Bold" w:hAnsi="Times New Roman Bold" w:cs="Times New Roman Bold"/>
          <w:b/>
          <w:bCs/>
          <w:sz w:val="22"/>
          <w:szCs w:val="44"/>
          <w:lang w:val="en-US" w:eastAsia="zh-CN"/>
        </w:rPr>
      </w:pPr>
      <w:r>
        <w:rPr>
          <w:rFonts w:hint="default" w:ascii="Times New Roman Bold" w:hAnsi="Times New Roman Bold" w:cs="Times New Roman Bold"/>
          <w:b/>
          <w:bCs/>
          <w:sz w:val="22"/>
          <w:szCs w:val="44"/>
          <w:lang w:val="en-US" w:eastAsia="zh-CN"/>
        </w:rPr>
        <w:t>2.</w:t>
      </w:r>
      <w:r>
        <w:rPr>
          <w:rFonts w:hint="eastAsia" w:ascii="Times New Roman Bold" w:hAnsi="Times New Roman Bold" w:cs="Times New Roman Bold"/>
          <w:b/>
          <w:bCs/>
          <w:sz w:val="22"/>
          <w:szCs w:val="44"/>
          <w:lang w:val="en-US" w:eastAsia="zh-CN"/>
        </w:rPr>
        <w:t>2</w:t>
      </w:r>
      <w:r>
        <w:rPr>
          <w:rFonts w:hint="default" w:ascii="Times New Roman Bold" w:hAnsi="Times New Roman Bold" w:cs="Times New Roman Bold"/>
          <w:b/>
          <w:bCs/>
          <w:sz w:val="22"/>
          <w:szCs w:val="44"/>
          <w:lang w:val="en-US" w:eastAsia="zh-CN"/>
        </w:rPr>
        <w:t xml:space="preserve"> </w:t>
      </w:r>
      <w:r>
        <w:rPr>
          <w:rFonts w:hint="eastAsia" w:ascii="Times New Roman Bold" w:hAnsi="Times New Roman Bold" w:cs="Times New Roman Bold"/>
          <w:b/>
          <w:bCs/>
          <w:sz w:val="22"/>
          <w:szCs w:val="44"/>
          <w:lang w:val="en-US" w:eastAsia="zh-CN"/>
        </w:rPr>
        <w:t xml:space="preserve"> Discussion on mobility framework </w:t>
      </w:r>
      <w:r>
        <w:rPr>
          <w:rFonts w:hint="default" w:ascii="Times New Roman Bold" w:hAnsi="Times New Roman Bold" w:cs="Times New Roman Bold"/>
          <w:b/>
          <w:bCs/>
          <w:sz w:val="22"/>
          <w:szCs w:val="44"/>
          <w:lang w:val="en-US" w:eastAsia="zh-CN"/>
        </w:rPr>
        <w:t>for 6G</w:t>
      </w:r>
    </w:p>
    <w:p w14:paraId="289E2153">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 xml:space="preserve">In 5G (New Radio, NR) networks, mobility management revolves around the positional changes of User Equipment (UE) between different network nodes, with the core objective of ensuring service continuity and quality of service (QoS). Its main mobility types can be categorized into inter-cell mobility, beam-level mobility, and inter-system mobility based on the network hierarchy accessed by the UE and scenario requirements. </w:t>
      </w:r>
    </w:p>
    <w:p w14:paraId="62FD2E70">
      <w:pPr>
        <w:rPr>
          <w:rFonts w:hint="default" w:ascii="Times New Roman Regular" w:hAnsi="Times New Roman Regular" w:cs="Times New Roman Regular"/>
          <w:lang w:val="en-US" w:eastAsia="zh-CN"/>
        </w:rPr>
      </w:pPr>
    </w:p>
    <w:p w14:paraId="2A1DEB0C">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In 5G, several handover mechanisms are designed for UEs in connected mode to ensure mobility, each with distinct characteristics, advantages, and drawbacks. The L3 RRC handover, as the fundamental mechanism, relies on centralized decision-making at the RRC layer, featuring strong compatibility across various frequency bands and mobility scenarios with high reliability through core network coordination, but it suffers from long signaling procedures (around 50-100ms) and vulnerability to Xn interface congestion or disconnections, making it less suitable for high-speed mobility. Conditional Handover (CHO) allows the source gNodeB to pre-reserve resources in multiple candidate target cells and enables UEs to trigger handover autonomously when predefined conditions are met, reducing signaling latency by 30%-50% and improving success rates in high-speed scenarios even with temporary Xn failures, though it may cause resource waste due to pre-reservation and requires higher UE computing capabilities with potential candidate cell mismatches in complex environments. Dual Active Protocol Stack (DAPS) handover maintains simultaneous connections with both source and target base stations during the process, achieving "zero-interruption" (service interruption &lt;10ms) critical for URLLC services and avoiding retransmissions from handover failures, but it increases UE hardware complexity and power consumption, demands strict synchronization and interference management between base stations, and is limited to intra- or adjacent-frequency scenarios. L</w:t>
      </w:r>
      <w:r>
        <w:rPr>
          <w:rFonts w:hint="eastAsia" w:ascii="Times New Roman Regular" w:hAnsi="Times New Roman Regular" w:cs="Times New Roman Regular"/>
          <w:lang w:val="en-US" w:eastAsia="zh-CN"/>
        </w:rPr>
        <w:t>1/L2 triggered</w:t>
      </w:r>
      <w:r>
        <w:rPr>
          <w:rFonts w:hint="default" w:ascii="Times New Roman Regular" w:hAnsi="Times New Roman Regular" w:cs="Times New Roman Regular"/>
          <w:lang w:val="en-US" w:eastAsia="zh-CN"/>
        </w:rPr>
        <w:t xml:space="preserve"> Mobility (LTM) simplifies RRC signaling, offering ultra-low latency (&lt;20ms) and reduced signaling overhead by over 60% in dense small-cell environments. </w:t>
      </w:r>
    </w:p>
    <w:p w14:paraId="175FCD21">
      <w:pPr>
        <w:rPr>
          <w:rFonts w:hint="default" w:ascii="Times New Roman Regular" w:hAnsi="Times New Roman Regular" w:cs="Times New Roman Regular"/>
          <w:lang w:val="en-US" w:eastAsia="zh-CN"/>
        </w:rPr>
      </w:pPr>
    </w:p>
    <w:p w14:paraId="6990AEB2">
      <w:pPr>
        <w:rPr>
          <w:rFonts w:hint="eastAsia" w:ascii="Times New Roman" w:hAnsi="Times New Roman"/>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3：5G has introduced multiple handover mechanisms (L3 RRC HO, CHO, DAPS, LTM) to address diverse mobility needs—each optimizing for distinct goals (compatibility, low latency, zero interruption, reduced overhead) while having inherent limitations.</w:t>
      </w:r>
    </w:p>
    <w:p w14:paraId="03C26355">
      <w:pPr>
        <w:rPr>
          <w:rFonts w:hint="default" w:ascii="Times New Roman Regular" w:hAnsi="Times New Roman Regular" w:cs="Times New Roman Regular"/>
          <w:lang w:val="en-US" w:eastAsia="zh-CN"/>
        </w:rPr>
      </w:pPr>
    </w:p>
    <w:p w14:paraId="2CBB9669">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As emphasized in 3GPP TR 22.870 (Stage-1 Study on 6G Use-Cases and Requirements)</w:t>
      </w:r>
      <w:r>
        <w:rPr>
          <w:rFonts w:hint="eastAsia" w:ascii="Times New Roman Regular" w:hAnsi="Times New Roman Regular" w:cs="Times New Roman Regular"/>
          <w:lang w:val="en-US" w:eastAsia="zh-CN"/>
        </w:rPr>
        <w:t>[2]</w:t>
      </w:r>
      <w:r>
        <w:rPr>
          <w:rFonts w:hint="default" w:ascii="Times New Roman Regular" w:hAnsi="Times New Roman Regular" w:cs="Times New Roman Regular"/>
          <w:lang w:val="en-US" w:eastAsia="zh-CN"/>
        </w:rPr>
        <w:t>, 6G places significant focus on service continuity and interoperability with legacy systems, encompassing several key mobility-related requirements: it mandates seamless service continuity across network generations (requiring handover and session continuity procedures to smoothly handle cross-generational mobility), supports multi-access mobility (enabling simultaneous use of multiple access technologies for services and minimizing user experience impact during mobility between them), caters to non-terrestrial networks (NTN) and extreme mobility scenarios (e.g., high-speed trains over 500 km/h, UAVs, advanced air mobility, autonomous vehicles), and requires service-aware mobility (adapting to services like immersive XR, holographic communication, industrial automation, and massive IoT) alongside AI-native and context-aware mobility management (incorporating predictive analytics, mobility pattern recognition, and learning-based parameter adaptation). Additionally, 6G mobility solutions must account for diverse latency, reliability, and throughput needs, as well as the demands of low-power devices—these devices require infrequent measurements and energy-efficient mobility procedures, necessitating consideration of varied device-specific mobility requirements.</w:t>
      </w:r>
    </w:p>
    <w:p w14:paraId="57D041CA">
      <w:pPr>
        <w:rPr>
          <w:rFonts w:hint="default" w:ascii="Times New Roman Regular" w:hAnsi="Times New Roman Regular" w:cs="Times New Roman Regular"/>
          <w:lang w:val="en-US" w:eastAsia="zh-CN"/>
        </w:rPr>
      </w:pPr>
    </w:p>
    <w:p w14:paraId="40BDE19D">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4：6G mobility requirements include service continuity across network generations, multi-access mobility, support for non-terrestrial networks (NTN) and extreme mobility scenarios, service-aware as well as AI-native and context-aware mobility management, and adaptation to differentiated terminal needs (e.g., low-power devices) while addressing diverse latency, reliability and throughput demands. </w:t>
      </w:r>
    </w:p>
    <w:p w14:paraId="5AA46945">
      <w:pPr>
        <w:rPr>
          <w:rFonts w:hint="default" w:ascii="Times New Roman Regular" w:hAnsi="Times New Roman Regular" w:cs="Times New Roman Regular"/>
          <w:lang w:val="en-US" w:eastAsia="zh-CN"/>
        </w:rPr>
      </w:pPr>
    </w:p>
    <w:p w14:paraId="76749C00">
      <w:pPr>
        <w:rPr>
          <w:rFonts w:hint="eastAsia"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Throughout the evolution of 3GPP from Release 15 to Release 19, 5G mobility management has continuously advanced, introducing several novel handover mechanisms to improve the performance and reliability of traditional handover. Typical mechanisms include the traditional RRC-based handover (a Layer 3 triggered mechanism, hereinafter referred to as L3 handover), Conditional Handover (CHO), Lower-layer Triggered Mobility (LTM), and Dual Active Protocol Stack (DAPS) handover. Broadly, these mechanisms can be classified into two main categories: the first is handover triggered by lower layers like the physical/data link layer (referred to as "L1-triggered" handover), and the second is handover triggered by higher layers like the RRC layer (referred to as "L3-triggered" handover). Each category has its own advantages and disadvantages: L3-triggered handover is centrally controlled by the network, allowing for more comprehensive decisions but at the cost of higher procedural overhead and delay. L1-triggered handover, in contrast, is executed rapidly by lower layers, which can significantly reduce interruption time but may introduce challenges such as frequent handovers and increased control complexity.</w:t>
      </w:r>
      <w:r>
        <w:rPr>
          <w:rFonts w:hint="eastAsia" w:ascii="Times New Roman Regular" w:hAnsi="Times New Roman Regular" w:cs="Times New Roman Regular"/>
          <w:lang w:val="en-US" w:eastAsia="zh-CN"/>
        </w:rPr>
        <w:t xml:space="preserve"> </w:t>
      </w:r>
    </w:p>
    <w:p w14:paraId="4275DF26">
      <w:pPr>
        <w:rPr>
          <w:rFonts w:hint="eastAsia" w:ascii="Times New Roman Regular" w:hAnsi="Times New Roman Regular" w:cs="Times New Roman Regular"/>
          <w:lang w:val="en-US" w:eastAsia="zh-CN"/>
        </w:rPr>
      </w:pPr>
    </w:p>
    <w:p w14:paraId="28D66C4F">
      <w:pP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eastAsia="zh-CN"/>
        </w:rPr>
        <w:t>The coexistence of multiple handover mechanisms in 5G—each with distinct optimization goals and limitations—</w:t>
      </w:r>
      <w:r>
        <w:rPr>
          <w:rFonts w:hint="eastAsia" w:ascii="Times New Roman Regular" w:hAnsi="Times New Roman Regular" w:cs="Times New Roman Regular"/>
          <w:lang w:val="en-US" w:eastAsia="zh-CN"/>
        </w:rPr>
        <w:t xml:space="preserve">may </w:t>
      </w:r>
      <w:r>
        <w:rPr>
          <w:rFonts w:hint="default" w:ascii="Times New Roman Regular" w:hAnsi="Times New Roman Regular" w:cs="Times New Roman Regular"/>
          <w:lang w:val="en-US" w:eastAsia="zh-CN"/>
        </w:rPr>
        <w:t xml:space="preserve">create significant challenges for operators in selecting appropriate solutions for diverse scenarios and increased the complexity of network configurations for UEs. This fragmented approach becomes fundamentally inadequate in the context of 6G's vastly expanded mobility requirements. 6G demands seamless cross-generational service continuity, multi-access mobility, support for non-terrestrial networks and extreme mobility scenarios, service-aware and AI-driven mobility management, as well as adaptation to differentiated terminal needs (including low-power devices) alongside diverse latency, reliability, and throughput requirements. A unified mobility framework for 6G is therefore necessary to address these challenges: it would eliminate the operator's burden of selecting from multiple </w:t>
      </w:r>
      <w:r>
        <w:rPr>
          <w:rFonts w:hint="eastAsia" w:ascii="Times New Roman Regular" w:hAnsi="Times New Roman Regular" w:cs="Times New Roman Regular"/>
          <w:lang w:val="en-US" w:eastAsia="zh-CN"/>
        </w:rPr>
        <w:t xml:space="preserve">handover </w:t>
      </w:r>
      <w:r>
        <w:rPr>
          <w:rFonts w:hint="default" w:ascii="Times New Roman Regular" w:hAnsi="Times New Roman Regular" w:cs="Times New Roman Regular"/>
          <w:lang w:val="en-US" w:eastAsia="zh-CN"/>
        </w:rPr>
        <w:t xml:space="preserve">mechanisms, reduce network configuration complexity by streamlining parameters, and inherently accommodate 6G's diverse demands through a flexible, adaptive architecture—enabling seamless integration of new scenarios, services, and terminal types while maintaining efficiency and performance. </w:t>
      </w:r>
      <w:r>
        <w:rPr>
          <w:rFonts w:hint="eastAsia" w:ascii="Times New Roman Regular" w:hAnsi="Times New Roman Regular" w:cs="Times New Roman Regular"/>
          <w:lang w:val="en-US" w:eastAsia="zh-CN"/>
        </w:rPr>
        <w:t>For example, a u</w:t>
      </w:r>
      <w:r>
        <w:rPr>
          <w:rFonts w:hint="default" w:ascii="Times New Roman Regular" w:hAnsi="Times New Roman Regular" w:cs="Times New Roman Regular"/>
          <w:lang w:val="en-US" w:eastAsia="zh-CN"/>
        </w:rPr>
        <w:t>nified "L1-triggered" /"L3-triggered"</w:t>
      </w:r>
      <w:r>
        <w:rPr>
          <w:rFonts w:hint="eastAsia" w:ascii="Times New Roman Regular" w:hAnsi="Times New Roman Regular" w:cs="Times New Roman Regular"/>
          <w:lang w:val="en-US" w:eastAsia="zh-CN"/>
        </w:rPr>
        <w:t xml:space="preserve"> m</w:t>
      </w:r>
      <w:r>
        <w:rPr>
          <w:rFonts w:hint="default" w:ascii="Times New Roman Regular" w:hAnsi="Times New Roman Regular" w:cs="Times New Roman Regular"/>
          <w:lang w:val="en-US" w:eastAsia="zh-CN"/>
        </w:rPr>
        <w:t xml:space="preserve">obility </w:t>
      </w:r>
      <w:r>
        <w:rPr>
          <w:rFonts w:hint="eastAsia" w:ascii="Times New Roman Regular" w:hAnsi="Times New Roman Regular" w:cs="Times New Roman Regular"/>
          <w:lang w:val="en-US" w:eastAsia="zh-CN"/>
        </w:rPr>
        <w:t>f</w:t>
      </w:r>
      <w:r>
        <w:rPr>
          <w:rFonts w:hint="default" w:ascii="Times New Roman Regular" w:hAnsi="Times New Roman Regular" w:cs="Times New Roman Regular"/>
          <w:lang w:val="en-US" w:eastAsia="zh-CN"/>
        </w:rPr>
        <w:t>ramework</w:t>
      </w:r>
      <w:r>
        <w:rPr>
          <w:rFonts w:hint="eastAsia" w:ascii="Times New Roman Regular" w:hAnsi="Times New Roman Regular" w:cs="Times New Roman Regular"/>
          <w:lang w:val="en-US" w:eastAsia="zh-CN"/>
        </w:rPr>
        <w:t xml:space="preserve"> may m</w:t>
      </w:r>
      <w:r>
        <w:rPr>
          <w:rFonts w:hint="default" w:ascii="Times New Roman Regular" w:hAnsi="Times New Roman Regular" w:cs="Times New Roman Regular"/>
          <w:lang w:val="en-US" w:eastAsia="zh-CN"/>
        </w:rPr>
        <w:t xml:space="preserve">erge the agility of lower-layer (Layer 1/2) mobility with the robustness of Layer 3 mobility into a cohesive framework. </w:t>
      </w:r>
      <w:r>
        <w:rPr>
          <w:rFonts w:hint="eastAsia" w:ascii="Times New Roman Regular" w:hAnsi="Times New Roman Regular" w:cs="Times New Roman Regular"/>
          <w:lang w:val="en-US" w:eastAsia="zh-CN"/>
        </w:rPr>
        <w:t>The principle</w:t>
      </w:r>
      <w:r>
        <w:rPr>
          <w:rFonts w:hint="default" w:ascii="Times New Roman Regular" w:hAnsi="Times New Roman Regular" w:cs="Times New Roman Regular"/>
          <w:lang w:val="en-US" w:eastAsia="zh-CN"/>
        </w:rPr>
        <w:t xml:space="preserve"> is to trigger and execute handovers using fast low-layer signaling, while still coordinating overall context via RRC. This is crucial for meeting the latency requirements of XR and vehicular applications. Moreover, a unified approach would treat intra-cell beam changes and inter-cell handovers in a common framework, simplifying mobility management. Looking forward to future 6G networks, </w:t>
      </w:r>
      <w:r>
        <w:rPr>
          <w:rFonts w:hint="eastAsia" w:ascii="Times New Roman Regular" w:hAnsi="Times New Roman Regular" w:cs="Times New Roman Regular"/>
          <w:lang w:val="en-US" w:eastAsia="zh-CN"/>
        </w:rPr>
        <w:t>a u</w:t>
      </w:r>
      <w:r>
        <w:rPr>
          <w:rFonts w:hint="default" w:ascii="Times New Roman Regular" w:hAnsi="Times New Roman Regular" w:cs="Times New Roman Regular"/>
          <w:lang w:val="en-US" w:eastAsia="zh-CN"/>
        </w:rPr>
        <w:t>nified "L1-triggered" /"L3-triggered"</w:t>
      </w:r>
      <w:r>
        <w:rPr>
          <w:rFonts w:hint="eastAsia" w:ascii="Times New Roman Regular" w:hAnsi="Times New Roman Regular" w:cs="Times New Roman Regular"/>
          <w:lang w:val="en-US" w:eastAsia="zh-CN"/>
        </w:rPr>
        <w:t xml:space="preserve"> m</w:t>
      </w:r>
      <w:r>
        <w:rPr>
          <w:rFonts w:hint="default" w:ascii="Times New Roman Regular" w:hAnsi="Times New Roman Regular" w:cs="Times New Roman Regular"/>
          <w:lang w:val="en-US" w:eastAsia="zh-CN"/>
        </w:rPr>
        <w:t xml:space="preserve">obility </w:t>
      </w:r>
      <w:r>
        <w:rPr>
          <w:rFonts w:hint="eastAsia" w:ascii="Times New Roman Regular" w:hAnsi="Times New Roman Regular" w:cs="Times New Roman Regular"/>
          <w:lang w:val="en-US" w:eastAsia="zh-CN"/>
        </w:rPr>
        <w:t>f</w:t>
      </w:r>
      <w:r>
        <w:rPr>
          <w:rFonts w:hint="default" w:ascii="Times New Roman Regular" w:hAnsi="Times New Roman Regular" w:cs="Times New Roman Regular"/>
          <w:lang w:val="en-US" w:eastAsia="zh-CN"/>
        </w:rPr>
        <w:t>ramework</w:t>
      </w:r>
      <w:r>
        <w:rPr>
          <w:rFonts w:hint="eastAsia" w:ascii="Times New Roman Regular" w:hAnsi="Times New Roman Regular" w:cs="Times New Roman Regular"/>
          <w:lang w:val="en-US" w:eastAsia="zh-CN"/>
        </w:rPr>
        <w:t xml:space="preserve"> may</w:t>
      </w:r>
      <w:r>
        <w:rPr>
          <w:rFonts w:hint="default" w:ascii="Times New Roman Regular" w:hAnsi="Times New Roman Regular" w:cs="Times New Roman Regular"/>
          <w:lang w:val="en-US" w:eastAsia="zh-CN"/>
        </w:rPr>
        <w:t xml:space="preserve"> fully leverage their respective advantages and achieve a truly "seamless" handover.</w:t>
      </w:r>
      <w:r>
        <w:rPr>
          <w:rFonts w:hint="eastAsia" w:ascii="Times New Roman Regular" w:hAnsi="Times New Roman Regular" w:cs="Times New Roman Regular"/>
          <w:lang w:val="en-US" w:eastAsia="zh-CN"/>
        </w:rPr>
        <w:t xml:space="preserve"> In conclusion, the integration of L1 and L3 handover mechanisms is not merely a combination but a fundamental redesign of mobility management. By leveraging L3's strategic intelligence to guide L1's tactical speed, 6G networks can overcome the respective limitations of each approach, effectively eliminating the "ping-pong" effect and managing control complexity through abstraction and AI-powered automation to deliver truly seamless connectivity.</w:t>
      </w:r>
    </w:p>
    <w:p w14:paraId="198CF667">
      <w:pPr>
        <w:numPr>
          <w:ilvl w:val="0"/>
          <w:numId w:val="0"/>
        </w:numPr>
        <w:rPr>
          <w:rFonts w:hint="default" w:ascii="Times New Roman Regular" w:hAnsi="Times New Roman Regular" w:cs="Times New Roman Regular"/>
          <w:b w:val="0"/>
        </w:rPr>
      </w:pPr>
    </w:p>
    <w:p w14:paraId="1E09846F">
      <w:pPr>
        <w:rPr>
          <w:rFonts w:hint="default" w:ascii="Times New Roman" w:hAnsi="Times New Roman" w:cs="Times New Roman"/>
          <w:b w:val="0"/>
          <w:bCs w:val="0"/>
          <w:highlight w:val="none"/>
          <w:u w:val="none"/>
          <w:lang w:val="en-US" w:eastAsia="zh-CN"/>
        </w:rPr>
      </w:pPr>
      <w:r>
        <w:rPr>
          <w:rFonts w:hint="default" w:ascii="Times New Roman Bold" w:hAnsi="Times New Roman Bold" w:cs="Times New Roman Bold"/>
          <w:b/>
          <w:bCs/>
          <w:highlight w:val="none"/>
          <w:u w:val="none"/>
          <w:lang w:val="en-US" w:eastAsia="zh-CN"/>
        </w:rPr>
        <w:t xml:space="preserve">Proposal </w:t>
      </w:r>
      <w:r>
        <w:rPr>
          <w:rFonts w:hint="eastAsia" w:ascii="Times New Roman Bold" w:hAnsi="Times New Roman Bold" w:cs="Times New Roman Bold"/>
          <w:b/>
          <w:bCs/>
          <w:highlight w:val="none"/>
          <w:u w:val="none"/>
          <w:lang w:val="en-US" w:eastAsia="zh-CN"/>
        </w:rPr>
        <w:t>2</w:t>
      </w:r>
      <w:r>
        <w:rPr>
          <w:rFonts w:hint="default" w:ascii="Times New Roman Bold" w:hAnsi="Times New Roman Bold" w:cs="Times New Roman Bold"/>
          <w:b/>
          <w:bCs/>
          <w:highlight w:val="none"/>
          <w:u w:val="none"/>
          <w:lang w:val="en-US" w:eastAsia="zh-CN"/>
        </w:rPr>
        <w:t xml:space="preserve">: </w:t>
      </w:r>
      <w:r>
        <w:rPr>
          <w:rFonts w:hint="eastAsia" w:ascii="Times New Roman Bold" w:hAnsi="Times New Roman Bold" w:cs="Times New Roman Bold"/>
          <w:b/>
          <w:bCs/>
          <w:highlight w:val="none"/>
          <w:u w:val="none"/>
          <w:lang w:val="en-US" w:eastAsia="zh-CN"/>
        </w:rPr>
        <w:t xml:space="preserve">To </w:t>
      </w:r>
      <w:r>
        <w:rPr>
          <w:rFonts w:hint="default" w:ascii="Times New Roman Bold" w:hAnsi="Times New Roman Bold" w:cs="Times New Roman Bold"/>
          <w:b/>
          <w:bCs/>
          <w:highlight w:val="none"/>
          <w:u w:val="none"/>
          <w:lang w:val="en-US" w:eastAsia="zh-CN"/>
        </w:rPr>
        <w:t>eliminate the operator's burden of selecting from multiple handover mechanisms, reduce network configuration complexity, and inherently accommodate 6G's diverse demands</w:t>
      </w:r>
      <w:r>
        <w:rPr>
          <w:rFonts w:hint="eastAsia" w:ascii="Times New Roman Bold" w:hAnsi="Times New Roman Bold" w:cs="Times New Roman Bold"/>
          <w:b/>
          <w:bCs/>
          <w:highlight w:val="none"/>
          <w:u w:val="none"/>
          <w:lang w:val="en-US" w:eastAsia="zh-CN"/>
        </w:rPr>
        <w:t>, i</w:t>
      </w:r>
      <w:r>
        <w:rPr>
          <w:rFonts w:hint="default" w:ascii="Times New Roman Bold" w:hAnsi="Times New Roman Bold" w:cs="Times New Roman Bold"/>
          <w:b/>
          <w:bCs/>
          <w:highlight w:val="none"/>
          <w:u w:val="none"/>
          <w:lang w:val="en-US" w:eastAsia="zh-CN"/>
        </w:rPr>
        <w:t xml:space="preserve">t is proposed to design a unified "L1-triggered" /"L3-triggered" mobility framework </w:t>
      </w:r>
      <w:r>
        <w:rPr>
          <w:rFonts w:hint="eastAsia" w:ascii="Times New Roman Bold" w:hAnsi="Times New Roman Bold" w:cs="Times New Roman Bold"/>
          <w:b/>
          <w:bCs/>
          <w:highlight w:val="none"/>
          <w:u w:val="none"/>
          <w:lang w:val="en-US" w:eastAsia="zh-CN"/>
        </w:rPr>
        <w:t>for 6G</w:t>
      </w:r>
      <w:r>
        <w:rPr>
          <w:rFonts w:hint="default" w:ascii="Times New Roman Bold" w:hAnsi="Times New Roman Bold" w:cs="Times New Roman Bold"/>
          <w:b/>
          <w:bCs/>
          <w:highlight w:val="none"/>
          <w:u w:val="none"/>
          <w:lang w:val="en-US" w:eastAsia="zh-CN"/>
        </w:rPr>
        <w:t>.</w:t>
      </w:r>
    </w:p>
    <w:p w14:paraId="34BACD12">
      <w:pPr>
        <w:rPr>
          <w:rFonts w:hint="default" w:ascii="Times New Roman" w:hAnsi="Times New Roman" w:cs="Times New Roman"/>
          <w:b w:val="0"/>
          <w:bCs w:val="0"/>
          <w:highlight w:val="none"/>
          <w:u w:val="none"/>
          <w:lang w:val="en-US" w:eastAsia="zh-CN"/>
        </w:rPr>
      </w:pPr>
    </w:p>
    <w:p w14:paraId="5C26AB0A">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 xml:space="preserve">In addition, nearly every UE in RRC Connected mode generally follows uniform mobility procedures, including continuous measurements, periodic reporting, and cell reselection/handovers (HOs) when predefined thresholds are met in 5G. However, for 6G’s wide range of device types (from stationary IoT sensors to high-speed vehicles), this rigid framework needs to become more dynamic and optional. For instance, a stationary IoT sensor could operate in a “fixed” mode where handover measurements are completely omitted—this not only saves the device’s battery but also reduces unnecessary signaling—unless the device’s context (e.g., unexpected position shifts) or the required service indicates movement. Conversely, a high-speed vehicle (e.g., a bullet train or autonomous car) could temporarily activate an “enhanced mobility mode,” which involves more aggressive signal measurements and the establishment of multiple simultaneous connections to ensure seamless service continuity. </w:t>
      </w:r>
    </w:p>
    <w:p w14:paraId="27AE30B0">
      <w:pPr>
        <w:rPr>
          <w:rFonts w:hint="default" w:ascii="Times New Roman" w:hAnsi="Times New Roman" w:cs="Times New Roman"/>
          <w:b w:val="0"/>
          <w:bCs w:val="0"/>
          <w:highlight w:val="none"/>
          <w:u w:val="none"/>
          <w:lang w:val="en-US" w:eastAsia="zh-CN"/>
        </w:rPr>
      </w:pPr>
    </w:p>
    <w:p w14:paraId="6267CA5A">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Observation 5: In 5G networks, nearly all User Equipment (UE) operating in Radio Resource Control (RRC) Connected mode typically adhere to a set of uniform mobility procedures. However, 6G will encompass an extremely diverse range of device types—spanning stationary IoT sensors, low-mobility wearable devices, and high-speed vehicular terminals, among others. Given this diversity, different device categories will inevitably have distinct mobility requirements (e.g., latency tolerance, handover frequency) and tailored mobility management policies.</w:t>
      </w:r>
    </w:p>
    <w:p w14:paraId="71024642">
      <w:pPr>
        <w:rPr>
          <w:rFonts w:hint="default" w:ascii="Times New Roman" w:hAnsi="Times New Roman" w:cs="Times New Roman"/>
          <w:b w:val="0"/>
          <w:bCs w:val="0"/>
          <w:highlight w:val="none"/>
          <w:u w:val="none"/>
          <w:lang w:val="en-US" w:eastAsia="zh-CN"/>
        </w:rPr>
      </w:pPr>
    </w:p>
    <w:p w14:paraId="175D2A90">
      <w:pPr>
        <w:rPr>
          <w:rFonts w:hint="default" w:ascii="Times New Roman" w:hAnsi="Times New Roman" w:cs="Times New Roman"/>
          <w:b w:val="0"/>
          <w:bCs w:val="0"/>
          <w:highlight w:val="none"/>
          <w:u w:val="none"/>
          <w:lang w:val="en-US" w:eastAsia="zh-CN"/>
        </w:rPr>
      </w:pPr>
      <w:r>
        <w:rPr>
          <w:rFonts w:hint="default" w:ascii="Times New Roman" w:hAnsi="Times New Roman" w:cs="Times New Roman"/>
          <w:b w:val="0"/>
          <w:bCs w:val="0"/>
          <w:highlight w:val="none"/>
          <w:u w:val="none"/>
          <w:lang w:val="en-US" w:eastAsia="zh-CN"/>
        </w:rPr>
        <w:t xml:space="preserve">Thus, 6G mobility may need to consider the principle of on-demand design. This approach introduces mobility management that is triggered and used only when necessary, rather than adopting a one-size-fits-all, always-on mode. Specifically speaking, we propose that mobility be designed as an on-demand service in 6G: UEs or their associated applications can proactively request mobility support when required, and the Radio Access Network (RAN) can then invoke corresponding procedures (such as pre-preparing handover resources or real-time UE tracking) tailored to the specific need. Overall, on-demand mobility will minimize signaling overhead and processing burdens for immobile or low-mobility devices (a key requirement for supporting massive device densities in 6G), while still enabling comprehensive mobility capabilities for terminals that demand high-performance mobility, fully catering to the diverse mobility needs of 6G’s varied terminal ecosystem. </w:t>
      </w:r>
    </w:p>
    <w:p w14:paraId="37332D25">
      <w:pPr>
        <w:rPr>
          <w:rFonts w:hint="default" w:ascii="Times New Roman" w:hAnsi="Times New Roman" w:cs="Times New Roman"/>
          <w:b w:val="0"/>
          <w:bCs w:val="0"/>
          <w:highlight w:val="none"/>
          <w:u w:val="none"/>
          <w:lang w:val="en-US" w:eastAsia="zh-CN"/>
        </w:rPr>
      </w:pPr>
    </w:p>
    <w:p w14:paraId="680AB299">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Proposal 3: Aiming at 6G’s diverse devices that have distinct mobility needs, it is proposed to adopt an on-demand mobility principle: mobility management is triggered and used only when necessary, instead of following 5G’s practice of applying a one-size-fits-all, always-on approach to all UEs.</w:t>
      </w:r>
    </w:p>
    <w:p w14:paraId="3D6A5302">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Conclusion</w:t>
      </w:r>
    </w:p>
    <w:p w14:paraId="6FC2AF07">
      <w:pPr>
        <w:numPr>
          <w:ilvl w:val="-1"/>
          <w:numId w:val="0"/>
        </w:numPr>
        <w:ind w:left="0" w:leftChars="0"/>
        <w:jc w:val="both"/>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we provided our observations and proposal</w:t>
      </w:r>
      <w:r>
        <w:rPr>
          <w:rFonts w:hint="default" w:ascii="Times New Roman" w:hAnsi="Times New Roman" w:cs="Times New Roman"/>
          <w:szCs w:val="21"/>
          <w:lang w:eastAsia="zh-CN"/>
        </w:rPr>
        <w:t>s</w:t>
      </w:r>
      <w:r>
        <w:rPr>
          <w:rFonts w:hint="eastAsia" w:ascii="Times New Roman" w:hAnsi="Times New Roman" w:cs="Times New Roman"/>
          <w:szCs w:val="21"/>
          <w:lang w:val="en-US" w:eastAsia="zh-CN"/>
        </w:rPr>
        <w:t xml:space="preserve"> on 6G measurement and mobility as </w:t>
      </w:r>
      <w:r>
        <w:rPr>
          <w:rFonts w:hint="default" w:ascii="Times New Roman" w:hAnsi="Times New Roman" w:cs="Times New Roman"/>
          <w:szCs w:val="21"/>
          <w:lang w:val="en-US" w:eastAsia="zh-CN"/>
        </w:rPr>
        <w:t>follows:</w:t>
      </w:r>
    </w:p>
    <w:p w14:paraId="6F11CC6D">
      <w:pPr>
        <w:numPr>
          <w:ilvl w:val="-1"/>
          <w:numId w:val="0"/>
        </w:numPr>
        <w:ind w:left="0" w:leftChars="0"/>
        <w:jc w:val="both"/>
        <w:rPr>
          <w:rFonts w:hint="default" w:ascii="Times New Roman" w:hAnsi="Times New Roman" w:cs="Times New Roman"/>
          <w:szCs w:val="21"/>
          <w:lang w:val="en-US" w:eastAsia="zh-CN"/>
        </w:rPr>
      </w:pPr>
    </w:p>
    <w:p w14:paraId="55AB58F8">
      <w:pPr>
        <w:rPr>
          <w:rFonts w:hint="eastAsia" w:ascii="Times New Roman" w:hAnsi="Times New Roman"/>
          <w:b/>
          <w:bCs/>
          <w:lang w:val="en-US" w:eastAsia="zh-CN"/>
        </w:rPr>
      </w:pPr>
      <w:r>
        <w:rPr>
          <w:rFonts w:hint="default" w:ascii="Times New Roman Bold" w:hAnsi="Times New Roman Bold" w:cs="Times New Roman Bold"/>
          <w:b/>
          <w:bCs/>
          <w:lang w:val="en-US" w:eastAsia="zh-CN"/>
        </w:rPr>
        <w:t>Observation 1</w:t>
      </w:r>
      <w:r>
        <w:rPr>
          <w:rFonts w:hint="eastAsia" w:ascii="Times New Roman Bold" w:hAnsi="Times New Roman Bold" w:cs="Times New Roman Bold"/>
          <w:b/>
          <w:bCs/>
          <w:lang w:val="en-US" w:eastAsia="zh-CN"/>
        </w:rPr>
        <w:t>：</w:t>
      </w:r>
      <w:r>
        <w:rPr>
          <w:rFonts w:hint="eastAsia" w:ascii="Times New Roman" w:hAnsi="Times New Roman"/>
          <w:b/>
          <w:bCs/>
          <w:lang w:val="en-US" w:eastAsia="zh-CN"/>
        </w:rPr>
        <w:t xml:space="preserve">In the existing 5G architecture, there are two separate measurement systems: one for RRM at cell level (L3, event-based RRC configuration), and another for beam management at PHY level (L1, CSI-based). These systems are independent and not fully integrated, resulting in additional complexity for UE implementation and network optimization. </w:t>
      </w:r>
    </w:p>
    <w:p w14:paraId="7809F43B">
      <w:pPr>
        <w:rPr>
          <w:rFonts w:hint="eastAsia" w:ascii="Times New Roman" w:hAnsi="Times New Roman"/>
          <w:b/>
          <w:bCs/>
          <w:lang w:val="en-US" w:eastAsia="zh-CN"/>
        </w:rPr>
      </w:pPr>
    </w:p>
    <w:p w14:paraId="26F30C35">
      <w:pPr>
        <w:rPr>
          <w:rFonts w:hint="eastAsia" w:ascii="Times New Roman" w:hAnsi="Times New Roman"/>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2：</w:t>
      </w:r>
      <w:r>
        <w:rPr>
          <w:rFonts w:hint="eastAsia" w:ascii="Times New Roman" w:hAnsi="Times New Roman"/>
          <w:b/>
          <w:bCs/>
          <w:lang w:val="en-US" w:eastAsia="zh-CN"/>
        </w:rPr>
        <w:t>The separate measurement systems(L1 based and L3 based measurement) may result in redundant measurement and report, which is unlikely to meet the stringent mobility requirements of 6G, especially under high-frequency and ultra-dense deployment scenarios.</w:t>
      </w:r>
    </w:p>
    <w:p w14:paraId="47973EEE">
      <w:pPr>
        <w:rPr>
          <w:rFonts w:hint="eastAsia" w:ascii="Times New Roman" w:hAnsi="Times New Roman"/>
          <w:b/>
          <w:bCs/>
          <w:lang w:val="en-US" w:eastAsia="zh-CN"/>
        </w:rPr>
      </w:pPr>
    </w:p>
    <w:p w14:paraId="15A9B3EA">
      <w:pPr>
        <w:rPr>
          <w:rFonts w:hint="eastAsia"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w:t>
      </w:r>
      <w:r>
        <w:rPr>
          <w:rFonts w:hint="eastAsia" w:ascii="Times New Roman Bold" w:hAnsi="Times New Roman Bold" w:cs="Times New Roman Bold"/>
          <w:b/>
          <w:bCs/>
          <w:lang w:val="en-US" w:eastAsia="zh-CN"/>
        </w:rPr>
        <w:t>3：5G has introduced multiple handover mechanisms (L3 RRC HO, CHO, DAPS, LTM) to address diverse mobility needs—each optimizing for distinct goals (compatibility, low latency, zero interruption, reduced overhead) while having inherent limitations.</w:t>
      </w:r>
    </w:p>
    <w:p w14:paraId="5F1E58E4">
      <w:pPr>
        <w:rPr>
          <w:rFonts w:hint="eastAsia" w:ascii="Times New Roman Bold" w:hAnsi="Times New Roman Bold" w:cs="Times New Roman Bold"/>
          <w:b/>
          <w:bCs/>
          <w:lang w:val="en-US" w:eastAsia="zh-CN"/>
        </w:rPr>
      </w:pPr>
    </w:p>
    <w:p w14:paraId="2532E36C">
      <w:pPr>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4：6G mobility requirements include service continuity across network generations, multi-access mobility, support for non-terrestrial networks (NTN) and extreme mobility scenarios, service-aware as well as AI-native and context-aware mobility management, and adaptation to differentiated terminal needs (e.g., low-power devices) while addressing diverse latency, reliability and throughput demands. </w:t>
      </w:r>
    </w:p>
    <w:p w14:paraId="21E57DA2">
      <w:pPr>
        <w:rPr>
          <w:rFonts w:hint="default" w:ascii="Times New Roman Bold" w:hAnsi="Times New Roman Bold" w:cs="Times New Roman Bold"/>
          <w:b/>
          <w:bCs/>
          <w:lang w:val="en-US" w:eastAsia="zh-CN"/>
        </w:rPr>
      </w:pPr>
    </w:p>
    <w:p w14:paraId="74906E6C">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Observation 5: In 5G networks, nearly all User Equipment (UE) operating in Radio Resource Control (RRC) Connected mode typically adhere to a set of uniform mobility procedures. However, 6G will encompass an extremely diverse range of device types—spanning stationary IoT sensors, low-mobility wearable devices, and high-speed vehicular terminals, among others. Given this diversity, different device categories will inevitably have distinct mobility requirements (e.g., latency tolerance, handover frequency) and tailored mobility management policies.</w:t>
      </w:r>
    </w:p>
    <w:p w14:paraId="5DB1CA92">
      <w:pPr>
        <w:rPr>
          <w:rFonts w:hint="default" w:ascii="Times New Roman Bold" w:hAnsi="Times New Roman Bold" w:cs="Times New Roman Bold"/>
          <w:b/>
          <w:bCs/>
          <w:lang w:val="en-US" w:eastAsia="zh-CN"/>
        </w:rPr>
      </w:pPr>
    </w:p>
    <w:p w14:paraId="061CCD7E">
      <w:pPr>
        <w:rPr>
          <w:rFonts w:hint="default" w:ascii="Times New Roman Bold" w:hAnsi="Times New Roman Bold" w:cs="Times New Roman Bold"/>
          <w:b/>
          <w:bCs/>
          <w:highlight w:val="none"/>
          <w:u w:val="none"/>
          <w:lang w:val="en-US" w:eastAsia="zh-CN"/>
        </w:rPr>
      </w:pPr>
      <w:r>
        <w:rPr>
          <w:rFonts w:hint="default" w:ascii="Times New Roman Bold" w:hAnsi="Times New Roman Bold" w:cs="Times New Roman Bold"/>
          <w:b/>
          <w:bCs/>
          <w:highlight w:val="none"/>
          <w:u w:val="none"/>
          <w:lang w:val="en-US" w:eastAsia="zh-CN"/>
        </w:rPr>
        <w:t xml:space="preserve">Proposal 1: </w:t>
      </w:r>
      <w:r>
        <w:rPr>
          <w:rFonts w:hint="eastAsia" w:ascii="Times New Roman Bold" w:hAnsi="Times New Roman Bold" w:cs="Times New Roman Bold"/>
          <w:b/>
          <w:bCs/>
          <w:highlight w:val="none"/>
          <w:u w:val="none"/>
          <w:lang w:val="en-US" w:eastAsia="zh-CN"/>
        </w:rPr>
        <w:t xml:space="preserve">To </w:t>
      </w:r>
      <w:r>
        <w:rPr>
          <w:rFonts w:hint="default" w:ascii="Times New Roman Bold" w:hAnsi="Times New Roman Bold" w:cs="Times New Roman Bold"/>
          <w:b/>
          <w:bCs/>
          <w:lang w:val="en-US" w:eastAsia="zh-CN"/>
        </w:rPr>
        <w:t xml:space="preserve">eliminate redundant measurements and reporting, simplify procedures and reduce latency </w:t>
      </w:r>
      <w:r>
        <w:rPr>
          <w:rFonts w:hint="eastAsia" w:ascii="Times New Roman Bold" w:hAnsi="Times New Roman Bold" w:cs="Times New Roman Bold"/>
          <w:b/>
          <w:bCs/>
          <w:highlight w:val="none"/>
          <w:u w:val="none"/>
          <w:lang w:val="en-US" w:eastAsia="zh-CN"/>
        </w:rPr>
        <w:t>to meet future 6G measurement requirements, i</w:t>
      </w:r>
      <w:r>
        <w:rPr>
          <w:rFonts w:hint="default" w:ascii="Times New Roman Bold" w:hAnsi="Times New Roman Bold" w:cs="Times New Roman Bold"/>
          <w:b/>
          <w:bCs/>
          <w:highlight w:val="none"/>
          <w:u w:val="none"/>
          <w:lang w:val="en-US" w:eastAsia="zh-CN"/>
        </w:rPr>
        <w:t>t is proposed to design a unified L3 RRM and L1 CSI/beam measurement framework for 6G</w:t>
      </w:r>
      <w:r>
        <w:rPr>
          <w:rFonts w:hint="eastAsia" w:ascii="Times New Roman Bold" w:hAnsi="Times New Roman Bold" w:cs="Times New Roman Bold"/>
          <w:b/>
          <w:bCs/>
          <w:highlight w:val="none"/>
          <w:u w:val="none"/>
          <w:lang w:val="en-US" w:eastAsia="zh-CN"/>
        </w:rPr>
        <w:t>.</w:t>
      </w:r>
    </w:p>
    <w:p w14:paraId="42633952">
      <w:pPr>
        <w:rPr>
          <w:rFonts w:hint="default" w:ascii="Times New Roman Bold" w:hAnsi="Times New Roman Bold" w:cs="Times New Roman Bold"/>
          <w:b/>
          <w:bCs/>
          <w:lang w:val="en-US" w:eastAsia="zh-CN"/>
        </w:rPr>
      </w:pPr>
    </w:p>
    <w:p w14:paraId="432996A7">
      <w:pPr>
        <w:rPr>
          <w:rFonts w:hint="default" w:ascii="Times New Roman" w:hAnsi="Times New Roman" w:cs="Times New Roman"/>
          <w:b w:val="0"/>
          <w:bCs w:val="0"/>
          <w:highlight w:val="none"/>
          <w:u w:val="none"/>
          <w:lang w:val="en-US" w:eastAsia="zh-CN"/>
        </w:rPr>
      </w:pPr>
      <w:r>
        <w:rPr>
          <w:rFonts w:hint="default" w:ascii="Times New Roman Bold" w:hAnsi="Times New Roman Bold" w:cs="Times New Roman Bold"/>
          <w:b/>
          <w:bCs/>
          <w:highlight w:val="none"/>
          <w:u w:val="none"/>
          <w:lang w:val="en-US" w:eastAsia="zh-CN"/>
        </w:rPr>
        <w:t xml:space="preserve">Proposal </w:t>
      </w:r>
      <w:r>
        <w:rPr>
          <w:rFonts w:hint="eastAsia" w:ascii="Times New Roman Bold" w:hAnsi="Times New Roman Bold" w:cs="Times New Roman Bold"/>
          <w:b/>
          <w:bCs/>
          <w:highlight w:val="none"/>
          <w:u w:val="none"/>
          <w:lang w:val="en-US" w:eastAsia="zh-CN"/>
        </w:rPr>
        <w:t>2</w:t>
      </w:r>
      <w:r>
        <w:rPr>
          <w:rFonts w:hint="default" w:ascii="Times New Roman Bold" w:hAnsi="Times New Roman Bold" w:cs="Times New Roman Bold"/>
          <w:b/>
          <w:bCs/>
          <w:highlight w:val="none"/>
          <w:u w:val="none"/>
          <w:lang w:val="en-US" w:eastAsia="zh-CN"/>
        </w:rPr>
        <w:t xml:space="preserve">: </w:t>
      </w:r>
      <w:r>
        <w:rPr>
          <w:rFonts w:hint="eastAsia" w:ascii="Times New Roman Bold" w:hAnsi="Times New Roman Bold" w:cs="Times New Roman Bold"/>
          <w:b/>
          <w:bCs/>
          <w:highlight w:val="none"/>
          <w:u w:val="none"/>
          <w:lang w:val="en-US" w:eastAsia="zh-CN"/>
        </w:rPr>
        <w:t xml:space="preserve">To </w:t>
      </w:r>
      <w:r>
        <w:rPr>
          <w:rFonts w:hint="default" w:ascii="Times New Roman Bold" w:hAnsi="Times New Roman Bold" w:cs="Times New Roman Bold"/>
          <w:b/>
          <w:bCs/>
          <w:highlight w:val="none"/>
          <w:u w:val="none"/>
          <w:lang w:val="en-US" w:eastAsia="zh-CN"/>
        </w:rPr>
        <w:t>eliminate the operator's burden of selecting from multiple handover mechanisms, reduce network configuration complexity, and inherently accommodate 6G's diverse demands</w:t>
      </w:r>
      <w:r>
        <w:rPr>
          <w:rFonts w:hint="eastAsia" w:ascii="Times New Roman Bold" w:hAnsi="Times New Roman Bold" w:cs="Times New Roman Bold"/>
          <w:b/>
          <w:bCs/>
          <w:highlight w:val="none"/>
          <w:u w:val="none"/>
          <w:lang w:val="en-US" w:eastAsia="zh-CN"/>
        </w:rPr>
        <w:t>, i</w:t>
      </w:r>
      <w:r>
        <w:rPr>
          <w:rFonts w:hint="default" w:ascii="Times New Roman Bold" w:hAnsi="Times New Roman Bold" w:cs="Times New Roman Bold"/>
          <w:b/>
          <w:bCs/>
          <w:highlight w:val="none"/>
          <w:u w:val="none"/>
          <w:lang w:val="en-US" w:eastAsia="zh-CN"/>
        </w:rPr>
        <w:t xml:space="preserve">t is proposed to design a unified "L1-triggered" /"L3-triggered" mobility framework </w:t>
      </w:r>
      <w:r>
        <w:rPr>
          <w:rFonts w:hint="eastAsia" w:ascii="Times New Roman Bold" w:hAnsi="Times New Roman Bold" w:cs="Times New Roman Bold"/>
          <w:b/>
          <w:bCs/>
          <w:highlight w:val="none"/>
          <w:u w:val="none"/>
          <w:lang w:val="en-US" w:eastAsia="zh-CN"/>
        </w:rPr>
        <w:t>for 6G</w:t>
      </w:r>
      <w:r>
        <w:rPr>
          <w:rFonts w:hint="default" w:ascii="Times New Roman Bold" w:hAnsi="Times New Roman Bold" w:cs="Times New Roman Bold"/>
          <w:b/>
          <w:bCs/>
          <w:highlight w:val="none"/>
          <w:u w:val="none"/>
          <w:lang w:val="en-US" w:eastAsia="zh-CN"/>
        </w:rPr>
        <w:t>.</w:t>
      </w:r>
    </w:p>
    <w:p w14:paraId="5396321E">
      <w:pPr>
        <w:rPr>
          <w:rFonts w:hint="default" w:ascii="Times New Roman Bold" w:hAnsi="Times New Roman Bold" w:cs="Times New Roman Bold"/>
          <w:b/>
          <w:bCs/>
          <w:highlight w:val="none"/>
          <w:u w:val="none"/>
          <w:lang w:val="en-US" w:eastAsia="zh-CN"/>
        </w:rPr>
      </w:pPr>
    </w:p>
    <w:p w14:paraId="46FBCA4E">
      <w:pPr>
        <w:rPr>
          <w:rFonts w:hint="default" w:ascii="Times New Roman Bold" w:hAnsi="Times New Roman Bold" w:cs="Times New Roman Bold"/>
          <w:b/>
          <w:bCs/>
          <w:highlight w:val="none"/>
          <w:u w:val="none"/>
          <w:lang w:val="en-US" w:eastAsia="zh-CN"/>
        </w:rPr>
      </w:pPr>
      <w:bookmarkStart w:id="1" w:name="_Toc54284462"/>
      <w:r>
        <w:rPr>
          <w:rFonts w:hint="default" w:ascii="Times New Roman Bold" w:hAnsi="Times New Roman Bold" w:cs="Times New Roman Bold"/>
          <w:b/>
          <w:bCs/>
          <w:highlight w:val="none"/>
          <w:u w:val="none"/>
          <w:lang w:val="en-US" w:eastAsia="zh-CN"/>
        </w:rPr>
        <w:t>Proposal 3: Aiming at 6G’s diverse devices that have distinct mobility needs, it is proposed to adopt an on-demand mobility principle: mobility management is triggered and used only when necessary, instead of following 5G’s practice of applying a one-size-fits-all, always-on approach to all UEs.</w:t>
      </w:r>
    </w:p>
    <w:p w14:paraId="0132E5F8">
      <w:pPr>
        <w:pStyle w:val="2"/>
        <w:keepLines/>
        <w:numPr>
          <w:ilvl w:val="0"/>
          <w:numId w:val="3"/>
        </w:numPr>
        <w:pBdr>
          <w:top w:val="single" w:color="auto" w:sz="12" w:space="3"/>
        </w:pBdr>
        <w:tabs>
          <w:tab w:val="left" w:pos="432"/>
        </w:tabs>
        <w:overflowPunct w:val="0"/>
        <w:snapToGrid/>
        <w:spacing w:before="240" w:after="180"/>
        <w:ind w:left="432" w:hanging="432"/>
        <w:jc w:val="both"/>
        <w:textAlignment w:val="baseline"/>
        <w:rPr>
          <w:rFonts w:ascii="Times New Roman" w:hAnsi="Times New Roman"/>
        </w:rPr>
      </w:pPr>
      <w:r>
        <w:rPr>
          <w:rFonts w:ascii="Times New Roman" w:hAnsi="Times New Roman"/>
        </w:rPr>
        <w:t>References</w:t>
      </w:r>
      <w:bookmarkEnd w:id="1"/>
    </w:p>
    <w:p w14:paraId="3CACD6F1">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default" w:ascii="Times New Roman" w:hAnsi="Times New Roman"/>
          <w:sz w:val="20"/>
          <w:szCs w:val="20"/>
          <w:lang w:val="en-US" w:eastAsia="zh-CN"/>
        </w:rPr>
        <w:t>RP-251881</w:t>
      </w:r>
      <w:r>
        <w:rPr>
          <w:rFonts w:hint="eastAsia" w:ascii="Times New Roman" w:hAnsi="Times New Roman"/>
          <w:sz w:val="20"/>
          <w:szCs w:val="20"/>
          <w:lang w:val="en-US" w:eastAsia="zh-CN"/>
        </w:rPr>
        <w:t xml:space="preserve">, </w:t>
      </w:r>
      <w:r>
        <w:rPr>
          <w:rFonts w:hint="eastAsia" w:ascii="Times New Roman" w:hAnsi="Times New Roman" w:eastAsia="宋体" w:cs="Times New Roman"/>
          <w:kern w:val="0"/>
          <w:sz w:val="20"/>
          <w:szCs w:val="20"/>
          <w:lang w:val="en-US" w:eastAsia="zh-CN"/>
        </w:rPr>
        <w:t>New SID: Study on 6G Radio, June 9-13, 2025;</w:t>
      </w:r>
    </w:p>
    <w:p w14:paraId="16683E82">
      <w:pPr>
        <w:widowControl/>
        <w:numPr>
          <w:ilvl w:val="0"/>
          <w:numId w:val="6"/>
        </w:numPr>
        <w:tabs>
          <w:tab w:val="left" w:pos="567"/>
          <w:tab w:val="clear" w:pos="657"/>
        </w:tabs>
        <w:overflowPunct w:val="0"/>
        <w:autoSpaceDE w:val="0"/>
        <w:autoSpaceDN w:val="0"/>
        <w:adjustRightInd w:val="0"/>
        <w:spacing w:before="100" w:beforeAutospacing="1" w:after="100" w:afterAutospacing="1"/>
        <w:ind w:left="562" w:hanging="562"/>
        <w:jc w:val="both"/>
        <w:textAlignment w:val="baseline"/>
        <w:rPr>
          <w:rFonts w:ascii="Times New Roman" w:hAnsi="Times New Roman" w:cs="Times New Roman"/>
        </w:rPr>
      </w:pPr>
      <w:r>
        <w:rPr>
          <w:rFonts w:hint="eastAsia" w:ascii="Times New Roman" w:hAnsi="Times New Roman" w:eastAsia="宋体" w:cs="Times New Roman"/>
          <w:kern w:val="0"/>
          <w:sz w:val="20"/>
          <w:szCs w:val="20"/>
          <w:lang w:val="en-US" w:eastAsia="zh-CN"/>
        </w:rPr>
        <w:t>TR 22.870, Study on 6G Use Cases and Service Requirements.</w:t>
      </w: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A1"/>
    <w:family w:val="roman"/>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MS Mincho">
    <w:altName w:val="Hiragino Sans"/>
    <w:panose1 w:val="02020609040205080304"/>
    <w:charset w:val="80"/>
    <w:family w:val="modern"/>
    <w:pitch w:val="default"/>
    <w:sig w:usb0="00000000" w:usb1="00000000" w:usb2="08000012" w:usb3="00000000" w:csb0="0002009F" w:csb1="00000000"/>
  </w:font>
  <w:font w:name="MS PGothic">
    <w:altName w:val="Hiragino Sans"/>
    <w:panose1 w:val="020B0600070205080204"/>
    <w:charset w:val="80"/>
    <w:family w:val="swiss"/>
    <w:pitch w:val="default"/>
    <w:sig w:usb0="00000000" w:usb1="00000000" w:usb2="08000012" w:usb3="00000000" w:csb0="4002009F" w:csb1="DFD70000"/>
  </w:font>
  <w:font w:name="Times New Roman Regular">
    <w:panose1 w:val="02020703060505090304"/>
    <w:charset w:val="00"/>
    <w:family w:val="auto"/>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Times New Roman Bold">
    <w:panose1 w:val="02020703060505090304"/>
    <w:charset w:val="00"/>
    <w:family w:val="auto"/>
    <w:pitch w:val="default"/>
    <w:sig w:usb0="E0000AFF" w:usb1="00007843" w:usb2="00000001" w:usb3="00000000" w:csb0="400001BF" w:csb1="DFF70000"/>
  </w:font>
  <w:font w:name="汉仪书宋二KW">
    <w:panose1 w:val="00020600040101010101"/>
    <w:charset w:val="86"/>
    <w:family w:val="auto"/>
    <w:pitch w:val="default"/>
    <w:sig w:usb0="A00002BF" w:usb1="18EF7CFA" w:usb2="00000016" w:usb3="00000000" w:csb0="0004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 w:name="Hiragino Sans">
    <w:panose1 w:val="020B0300000000000000"/>
    <w:charset w:val="80"/>
    <w:family w:val="auto"/>
    <w:pitch w:val="default"/>
    <w:sig w:usb0="E00002FF" w:usb1="7AE7FFFF" w:usb2="00000012" w:usb3="00000000" w:csb0="0002000D" w:csb1="00000000"/>
  </w:font>
  <w:font w:name="等线 Light">
    <w:altName w:val="汉仪中等线KW"/>
    <w:panose1 w:val="00000000000000000000"/>
    <w:charset w:val="00"/>
    <w:family w:val="auto"/>
    <w:pitch w:val="default"/>
    <w:sig w:usb0="00000000" w:usb1="00000000" w:usb2="0000000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宋体-简">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C7E500"/>
    <w:multiLevelType w:val="multilevel"/>
    <w:tmpl w:val="FEC7E50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2">
    <w:nsid w:val="41EB0460"/>
    <w:multiLevelType w:val="multilevel"/>
    <w:tmpl w:val="41EB0460"/>
    <w:lvl w:ilvl="0" w:tentative="0">
      <w:start w:val="1"/>
      <w:numFmt w:val="decimal"/>
      <w:lvlText w:val="%1."/>
      <w:lvlJc w:val="left"/>
      <w:pPr>
        <w:ind w:left="360" w:hanging="360"/>
      </w:pPr>
      <w:rPr>
        <w:rFonts w:hint="default"/>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8"/>
      <w:lvlText w:val="%1.%2.%3.%4.%5"/>
      <w:lvlJc w:val="left"/>
      <w:pPr>
        <w:tabs>
          <w:tab w:val="left" w:pos="1188"/>
        </w:tabs>
        <w:ind w:left="851" w:hanging="851"/>
      </w:pPr>
      <w:rPr>
        <w:rFonts w:hint="default" w:ascii="Arial" w:hAnsi="Arial"/>
      </w:rPr>
    </w:lvl>
    <w:lvl w:ilvl="5" w:tentative="0">
      <w:start w:val="1"/>
      <w:numFmt w:val="decimal"/>
      <w:pStyle w:val="9"/>
      <w:lvlText w:val="%1.%2.%3.%4.%5.%6"/>
      <w:lvlJc w:val="left"/>
      <w:pPr>
        <w:tabs>
          <w:tab w:val="left" w:pos="1152"/>
        </w:tabs>
        <w:ind w:left="851" w:hanging="851"/>
      </w:pPr>
      <w:rPr>
        <w:rFonts w:hint="eastAsia"/>
      </w:rPr>
    </w:lvl>
    <w:lvl w:ilvl="6" w:tentative="0">
      <w:start w:val="1"/>
      <w:numFmt w:val="decimal"/>
      <w:pStyle w:val="10"/>
      <w:lvlText w:val="%1.%2.%3.%4.%5.%6.%7"/>
      <w:lvlJc w:val="left"/>
      <w:pPr>
        <w:tabs>
          <w:tab w:val="left" w:pos="1476"/>
        </w:tabs>
        <w:ind w:left="1476" w:hanging="1476"/>
      </w:pPr>
      <w:rPr>
        <w:rFonts w:hint="eastAsia"/>
      </w:rPr>
    </w:lvl>
    <w:lvl w:ilvl="7" w:tentative="0">
      <w:start w:val="1"/>
      <w:numFmt w:val="decimal"/>
      <w:pStyle w:val="11"/>
      <w:lvlText w:val="%1.%2.%3.%4.%5.%6.%7.%8"/>
      <w:lvlJc w:val="left"/>
      <w:pPr>
        <w:tabs>
          <w:tab w:val="left" w:pos="1620"/>
        </w:tabs>
        <w:ind w:left="1620" w:hanging="1620"/>
      </w:pPr>
      <w:rPr>
        <w:rFonts w:hint="eastAsia"/>
      </w:rPr>
    </w:lvl>
    <w:lvl w:ilvl="8" w:tentative="0">
      <w:start w:val="1"/>
      <w:numFmt w:val="decimal"/>
      <w:pStyle w:val="12"/>
      <w:lvlText w:val="%1.%2.%3.%4.%5.%6.%7.%8.%9"/>
      <w:lvlJc w:val="left"/>
      <w:pPr>
        <w:tabs>
          <w:tab w:val="left" w:pos="1764"/>
        </w:tabs>
        <w:ind w:left="1764" w:hanging="1764"/>
      </w:pPr>
      <w:rPr>
        <w:rFonts w:hint="eastAsia"/>
      </w:rPr>
    </w:lvl>
  </w:abstractNum>
  <w:abstractNum w:abstractNumId="5">
    <w:nsid w:val="70146DC0"/>
    <w:multiLevelType w:val="multilevel"/>
    <w:tmpl w:val="70146DC0"/>
    <w:lvl w:ilvl="0" w:tentative="0">
      <w:start w:val="1"/>
      <w:numFmt w:val="bullet"/>
      <w:pStyle w:val="53"/>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5"/>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7"/>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Y3NmFiNWI5MDU3YmNjZjMyYWE0YzNiYmU1OTIzOTQ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5465FAD"/>
    <w:rsid w:val="0568310D"/>
    <w:rsid w:val="05756793"/>
    <w:rsid w:val="05A47ACE"/>
    <w:rsid w:val="05BB24F7"/>
    <w:rsid w:val="072D40F1"/>
    <w:rsid w:val="074D2750"/>
    <w:rsid w:val="07522471"/>
    <w:rsid w:val="07FE2B1F"/>
    <w:rsid w:val="0A481A1C"/>
    <w:rsid w:val="0B8B2B90"/>
    <w:rsid w:val="0BB62E8D"/>
    <w:rsid w:val="0C110567"/>
    <w:rsid w:val="0C470E4F"/>
    <w:rsid w:val="0D733868"/>
    <w:rsid w:val="0D9546F5"/>
    <w:rsid w:val="0DD51C7C"/>
    <w:rsid w:val="0DF57134"/>
    <w:rsid w:val="0E4A6F14"/>
    <w:rsid w:val="0E762255"/>
    <w:rsid w:val="0EF50B08"/>
    <w:rsid w:val="0F672DA8"/>
    <w:rsid w:val="0F723A91"/>
    <w:rsid w:val="0FDF4BD3"/>
    <w:rsid w:val="0FFBAA37"/>
    <w:rsid w:val="0FFDC443"/>
    <w:rsid w:val="10265892"/>
    <w:rsid w:val="10E32902"/>
    <w:rsid w:val="1109680C"/>
    <w:rsid w:val="130D0D24"/>
    <w:rsid w:val="13A42136"/>
    <w:rsid w:val="14C710A8"/>
    <w:rsid w:val="14CD7B51"/>
    <w:rsid w:val="15280262"/>
    <w:rsid w:val="160067D9"/>
    <w:rsid w:val="160846A5"/>
    <w:rsid w:val="163254BE"/>
    <w:rsid w:val="16D13B64"/>
    <w:rsid w:val="17B31280"/>
    <w:rsid w:val="188B110E"/>
    <w:rsid w:val="18910936"/>
    <w:rsid w:val="18C221F9"/>
    <w:rsid w:val="197462BA"/>
    <w:rsid w:val="199F6F5F"/>
    <w:rsid w:val="19AE61A3"/>
    <w:rsid w:val="1A031A89"/>
    <w:rsid w:val="1A28231A"/>
    <w:rsid w:val="1A4E237A"/>
    <w:rsid w:val="1AFF21EC"/>
    <w:rsid w:val="1B0D62D5"/>
    <w:rsid w:val="1BFF9666"/>
    <w:rsid w:val="1C9A2F02"/>
    <w:rsid w:val="1CDB4C0A"/>
    <w:rsid w:val="1DF7B624"/>
    <w:rsid w:val="1E1A2095"/>
    <w:rsid w:val="1E48054C"/>
    <w:rsid w:val="1E4C42FA"/>
    <w:rsid w:val="1F4F5F36"/>
    <w:rsid w:val="1F606D74"/>
    <w:rsid w:val="1F833B28"/>
    <w:rsid w:val="1FDB97E8"/>
    <w:rsid w:val="1FFBEB26"/>
    <w:rsid w:val="20085EE1"/>
    <w:rsid w:val="205F59D0"/>
    <w:rsid w:val="21AE2EDA"/>
    <w:rsid w:val="224551CB"/>
    <w:rsid w:val="229C5AE9"/>
    <w:rsid w:val="25D70AAA"/>
    <w:rsid w:val="260F1B38"/>
    <w:rsid w:val="26777D2F"/>
    <w:rsid w:val="26FF2956"/>
    <w:rsid w:val="271E1505"/>
    <w:rsid w:val="273F3B6A"/>
    <w:rsid w:val="274E0EEF"/>
    <w:rsid w:val="27FC2BB9"/>
    <w:rsid w:val="2B7DD55E"/>
    <w:rsid w:val="2BB6B030"/>
    <w:rsid w:val="2BD42BB5"/>
    <w:rsid w:val="2BE37795"/>
    <w:rsid w:val="2D804734"/>
    <w:rsid w:val="2EBA1A3B"/>
    <w:rsid w:val="31696757"/>
    <w:rsid w:val="321F68F6"/>
    <w:rsid w:val="335229B5"/>
    <w:rsid w:val="337CBE5A"/>
    <w:rsid w:val="33B53C80"/>
    <w:rsid w:val="33B8055B"/>
    <w:rsid w:val="34F9242A"/>
    <w:rsid w:val="353D648E"/>
    <w:rsid w:val="35584DBD"/>
    <w:rsid w:val="35834C4F"/>
    <w:rsid w:val="35F033B2"/>
    <w:rsid w:val="367B459C"/>
    <w:rsid w:val="36B02E3E"/>
    <w:rsid w:val="37871C5F"/>
    <w:rsid w:val="37DBA990"/>
    <w:rsid w:val="37FE3907"/>
    <w:rsid w:val="38C14F85"/>
    <w:rsid w:val="39AF2E6A"/>
    <w:rsid w:val="3A0E3D7F"/>
    <w:rsid w:val="3AEB60D4"/>
    <w:rsid w:val="3B0B0E31"/>
    <w:rsid w:val="3BDE98A4"/>
    <w:rsid w:val="3BDF187F"/>
    <w:rsid w:val="3C5E1386"/>
    <w:rsid w:val="3C6A376B"/>
    <w:rsid w:val="3CAD3871"/>
    <w:rsid w:val="3D2C404F"/>
    <w:rsid w:val="3D4FA6A7"/>
    <w:rsid w:val="3D794C69"/>
    <w:rsid w:val="3DFD2B33"/>
    <w:rsid w:val="3DFEA3AF"/>
    <w:rsid w:val="3DFFC8B2"/>
    <w:rsid w:val="3E4459B8"/>
    <w:rsid w:val="3E6B1C59"/>
    <w:rsid w:val="3E7F4774"/>
    <w:rsid w:val="3EFD8626"/>
    <w:rsid w:val="3F6658E6"/>
    <w:rsid w:val="3F6F6A24"/>
    <w:rsid w:val="3FA2285D"/>
    <w:rsid w:val="3FABB504"/>
    <w:rsid w:val="3FAF01C8"/>
    <w:rsid w:val="3FEED92D"/>
    <w:rsid w:val="3FEF43D0"/>
    <w:rsid w:val="3FFE8C80"/>
    <w:rsid w:val="410C5707"/>
    <w:rsid w:val="42A539CE"/>
    <w:rsid w:val="435C04A2"/>
    <w:rsid w:val="43FC748C"/>
    <w:rsid w:val="44093E52"/>
    <w:rsid w:val="446F1C68"/>
    <w:rsid w:val="44EFE5D6"/>
    <w:rsid w:val="45961716"/>
    <w:rsid w:val="471748B1"/>
    <w:rsid w:val="477E6B3A"/>
    <w:rsid w:val="47BEB50B"/>
    <w:rsid w:val="47FB470B"/>
    <w:rsid w:val="487E765D"/>
    <w:rsid w:val="48FA24E4"/>
    <w:rsid w:val="492522E2"/>
    <w:rsid w:val="4AF131EF"/>
    <w:rsid w:val="4B407715"/>
    <w:rsid w:val="4BBB7216"/>
    <w:rsid w:val="4BEAE659"/>
    <w:rsid w:val="4C813C70"/>
    <w:rsid w:val="4CFBFF7C"/>
    <w:rsid w:val="4CFD9E08"/>
    <w:rsid w:val="4DA154D9"/>
    <w:rsid w:val="4E33426F"/>
    <w:rsid w:val="4F3EDF59"/>
    <w:rsid w:val="4F452E71"/>
    <w:rsid w:val="4F5947DB"/>
    <w:rsid w:val="4FBF5D0D"/>
    <w:rsid w:val="4FE92D8A"/>
    <w:rsid w:val="50341765"/>
    <w:rsid w:val="506A4672"/>
    <w:rsid w:val="508F5AF2"/>
    <w:rsid w:val="50A65EDA"/>
    <w:rsid w:val="50D843FC"/>
    <w:rsid w:val="50DE5C30"/>
    <w:rsid w:val="50F259DA"/>
    <w:rsid w:val="520C50B4"/>
    <w:rsid w:val="53185506"/>
    <w:rsid w:val="53B54E50"/>
    <w:rsid w:val="55EE0F69"/>
    <w:rsid w:val="561B7217"/>
    <w:rsid w:val="572629E8"/>
    <w:rsid w:val="575C092A"/>
    <w:rsid w:val="57DF6C32"/>
    <w:rsid w:val="57FF5C53"/>
    <w:rsid w:val="5877685D"/>
    <w:rsid w:val="589A1FD6"/>
    <w:rsid w:val="58AB3352"/>
    <w:rsid w:val="59AA78C5"/>
    <w:rsid w:val="59FD045D"/>
    <w:rsid w:val="5B73375B"/>
    <w:rsid w:val="5C1E4010"/>
    <w:rsid w:val="5CBF6175"/>
    <w:rsid w:val="5D4930BA"/>
    <w:rsid w:val="5DDD3A53"/>
    <w:rsid w:val="5DDF5671"/>
    <w:rsid w:val="5DEDE79E"/>
    <w:rsid w:val="5DF57F28"/>
    <w:rsid w:val="5E24773B"/>
    <w:rsid w:val="5E3B3C08"/>
    <w:rsid w:val="5EEFC4AD"/>
    <w:rsid w:val="5EFDD954"/>
    <w:rsid w:val="5F7F4DE1"/>
    <w:rsid w:val="5FA041B9"/>
    <w:rsid w:val="5FBE4D46"/>
    <w:rsid w:val="5FE388A6"/>
    <w:rsid w:val="5FE7E3C3"/>
    <w:rsid w:val="5FF48F3D"/>
    <w:rsid w:val="611963CD"/>
    <w:rsid w:val="62E34874"/>
    <w:rsid w:val="639062F6"/>
    <w:rsid w:val="63C06196"/>
    <w:rsid w:val="63DD0CDE"/>
    <w:rsid w:val="63E77AB9"/>
    <w:rsid w:val="63EB110F"/>
    <w:rsid w:val="63FF79A5"/>
    <w:rsid w:val="64147AC3"/>
    <w:rsid w:val="649C3D0A"/>
    <w:rsid w:val="654C28BC"/>
    <w:rsid w:val="65A840EC"/>
    <w:rsid w:val="65F358C4"/>
    <w:rsid w:val="65FFCFB4"/>
    <w:rsid w:val="6783FB0D"/>
    <w:rsid w:val="67BF35FC"/>
    <w:rsid w:val="67BF5E56"/>
    <w:rsid w:val="67EDC777"/>
    <w:rsid w:val="685376AF"/>
    <w:rsid w:val="68F57755"/>
    <w:rsid w:val="695F47F3"/>
    <w:rsid w:val="6A497336"/>
    <w:rsid w:val="6ACD487D"/>
    <w:rsid w:val="6B3C6A30"/>
    <w:rsid w:val="6CB06CB1"/>
    <w:rsid w:val="6CDD886F"/>
    <w:rsid w:val="6CEB5ACA"/>
    <w:rsid w:val="6D6D11D6"/>
    <w:rsid w:val="6DF5103D"/>
    <w:rsid w:val="6F2B2544"/>
    <w:rsid w:val="6FB58093"/>
    <w:rsid w:val="6FBBCC3F"/>
    <w:rsid w:val="6FCF2FF4"/>
    <w:rsid w:val="6FF7E176"/>
    <w:rsid w:val="70A04FBC"/>
    <w:rsid w:val="72041505"/>
    <w:rsid w:val="72F16DFA"/>
    <w:rsid w:val="73A25C56"/>
    <w:rsid w:val="73FE447C"/>
    <w:rsid w:val="73FF2BB4"/>
    <w:rsid w:val="740B2A1F"/>
    <w:rsid w:val="74566E86"/>
    <w:rsid w:val="74FF7320"/>
    <w:rsid w:val="757B2FF8"/>
    <w:rsid w:val="75DF6A2F"/>
    <w:rsid w:val="75E11EE8"/>
    <w:rsid w:val="767FFFB6"/>
    <w:rsid w:val="772665FC"/>
    <w:rsid w:val="772B48E7"/>
    <w:rsid w:val="77366967"/>
    <w:rsid w:val="776C150F"/>
    <w:rsid w:val="777FE0CF"/>
    <w:rsid w:val="77C3C807"/>
    <w:rsid w:val="77F37F57"/>
    <w:rsid w:val="77F7E429"/>
    <w:rsid w:val="77FC5BC6"/>
    <w:rsid w:val="77FE958D"/>
    <w:rsid w:val="77FF57C1"/>
    <w:rsid w:val="77FF6E47"/>
    <w:rsid w:val="78610694"/>
    <w:rsid w:val="788A13BF"/>
    <w:rsid w:val="78A377B2"/>
    <w:rsid w:val="78CF9076"/>
    <w:rsid w:val="78FF90C4"/>
    <w:rsid w:val="795FBC9B"/>
    <w:rsid w:val="79E42D9A"/>
    <w:rsid w:val="79FF54AC"/>
    <w:rsid w:val="7ABC00E2"/>
    <w:rsid w:val="7B35744F"/>
    <w:rsid w:val="7B35A897"/>
    <w:rsid w:val="7B3F548A"/>
    <w:rsid w:val="7B503B8C"/>
    <w:rsid w:val="7B7EFC4A"/>
    <w:rsid w:val="7BC34DAB"/>
    <w:rsid w:val="7BCF0B51"/>
    <w:rsid w:val="7BD74FB2"/>
    <w:rsid w:val="7BDBB103"/>
    <w:rsid w:val="7BF7DAA8"/>
    <w:rsid w:val="7C2571BC"/>
    <w:rsid w:val="7C5F4CF0"/>
    <w:rsid w:val="7C666996"/>
    <w:rsid w:val="7C7F5CE7"/>
    <w:rsid w:val="7CA15039"/>
    <w:rsid w:val="7CD54AA1"/>
    <w:rsid w:val="7CE7C0F0"/>
    <w:rsid w:val="7CFB8D33"/>
    <w:rsid w:val="7D6CD582"/>
    <w:rsid w:val="7D72B7FF"/>
    <w:rsid w:val="7D776755"/>
    <w:rsid w:val="7D8D41BC"/>
    <w:rsid w:val="7DAD07BE"/>
    <w:rsid w:val="7DBD72FD"/>
    <w:rsid w:val="7DBF09C0"/>
    <w:rsid w:val="7DDD9569"/>
    <w:rsid w:val="7DFDED1E"/>
    <w:rsid w:val="7E2B7701"/>
    <w:rsid w:val="7E891548"/>
    <w:rsid w:val="7E894D3F"/>
    <w:rsid w:val="7EA146AC"/>
    <w:rsid w:val="7ECFE177"/>
    <w:rsid w:val="7EEB0810"/>
    <w:rsid w:val="7EF666CC"/>
    <w:rsid w:val="7EFD3C2C"/>
    <w:rsid w:val="7F5F03C4"/>
    <w:rsid w:val="7F5F59F3"/>
    <w:rsid w:val="7F777CAC"/>
    <w:rsid w:val="7F912972"/>
    <w:rsid w:val="7F975008"/>
    <w:rsid w:val="7F9F5B2E"/>
    <w:rsid w:val="7FD75273"/>
    <w:rsid w:val="7FDC0D80"/>
    <w:rsid w:val="7FEB6E10"/>
    <w:rsid w:val="7FEF9B6C"/>
    <w:rsid w:val="7FFB1202"/>
    <w:rsid w:val="7FFBC5B3"/>
    <w:rsid w:val="7FFCD67F"/>
    <w:rsid w:val="7FFD6BA2"/>
    <w:rsid w:val="7FFD70D7"/>
    <w:rsid w:val="7FFF46E4"/>
    <w:rsid w:val="7FFF4C60"/>
    <w:rsid w:val="7FFFEAAC"/>
    <w:rsid w:val="897D9E21"/>
    <w:rsid w:val="8AFEA0D3"/>
    <w:rsid w:val="8FDF5E6A"/>
    <w:rsid w:val="8FEB6DDC"/>
    <w:rsid w:val="92F7F979"/>
    <w:rsid w:val="93E7555A"/>
    <w:rsid w:val="97CDEA88"/>
    <w:rsid w:val="97FFB322"/>
    <w:rsid w:val="9BBF0AEE"/>
    <w:rsid w:val="9BDFC227"/>
    <w:rsid w:val="9EEB1666"/>
    <w:rsid w:val="A36F1787"/>
    <w:rsid w:val="A7D183B8"/>
    <w:rsid w:val="A7F32433"/>
    <w:rsid w:val="AEBE8991"/>
    <w:rsid w:val="AEFE4179"/>
    <w:rsid w:val="AEFE9EC5"/>
    <w:rsid w:val="AFEB760E"/>
    <w:rsid w:val="AFFFFE3E"/>
    <w:rsid w:val="B1FCBA3B"/>
    <w:rsid w:val="B3FE53B1"/>
    <w:rsid w:val="B5CF5D59"/>
    <w:rsid w:val="B66B744E"/>
    <w:rsid w:val="B6B6C47F"/>
    <w:rsid w:val="B73D0C3D"/>
    <w:rsid w:val="B7AF9641"/>
    <w:rsid w:val="B7B54743"/>
    <w:rsid w:val="B7BB78A9"/>
    <w:rsid w:val="B9DC71BE"/>
    <w:rsid w:val="B9E3CDD6"/>
    <w:rsid w:val="BAFE9655"/>
    <w:rsid w:val="BC739896"/>
    <w:rsid w:val="BEEBEEB1"/>
    <w:rsid w:val="BF1FFA06"/>
    <w:rsid w:val="BF580821"/>
    <w:rsid w:val="BF5C85D2"/>
    <w:rsid w:val="BF77465D"/>
    <w:rsid w:val="BFDC8D70"/>
    <w:rsid w:val="BFEEBC2F"/>
    <w:rsid w:val="C4CF92FB"/>
    <w:rsid w:val="C5F6EFD2"/>
    <w:rsid w:val="C78F30F2"/>
    <w:rsid w:val="C7FD88C7"/>
    <w:rsid w:val="CBFE475B"/>
    <w:rsid w:val="CEDD30F2"/>
    <w:rsid w:val="D4BFFFC3"/>
    <w:rsid w:val="D6DFAE4B"/>
    <w:rsid w:val="D7DFAEDF"/>
    <w:rsid w:val="D7F768CD"/>
    <w:rsid w:val="D87A3C5C"/>
    <w:rsid w:val="D99F7B6E"/>
    <w:rsid w:val="DA1F8A03"/>
    <w:rsid w:val="DD7E827F"/>
    <w:rsid w:val="DDFDFB41"/>
    <w:rsid w:val="DE55220A"/>
    <w:rsid w:val="DFD360C6"/>
    <w:rsid w:val="DFDD8A97"/>
    <w:rsid w:val="E3FFE2B0"/>
    <w:rsid w:val="E4EF32E2"/>
    <w:rsid w:val="E5FC7EC9"/>
    <w:rsid w:val="E6FFEDCF"/>
    <w:rsid w:val="E797C820"/>
    <w:rsid w:val="E7BC645C"/>
    <w:rsid w:val="E9FAE5A0"/>
    <w:rsid w:val="EAB96328"/>
    <w:rsid w:val="EACF7266"/>
    <w:rsid w:val="EB771A6F"/>
    <w:rsid w:val="EB7E3CA1"/>
    <w:rsid w:val="EBBE0548"/>
    <w:rsid w:val="EBFA594B"/>
    <w:rsid w:val="EC934008"/>
    <w:rsid w:val="EDBF2ACF"/>
    <w:rsid w:val="EEB97187"/>
    <w:rsid w:val="EEF7184B"/>
    <w:rsid w:val="EF5F07B3"/>
    <w:rsid w:val="EFD7173A"/>
    <w:rsid w:val="EFFFAF70"/>
    <w:rsid w:val="F1F7417E"/>
    <w:rsid w:val="F2DF9A67"/>
    <w:rsid w:val="F3BF11AE"/>
    <w:rsid w:val="F4DF8938"/>
    <w:rsid w:val="F5ED68FD"/>
    <w:rsid w:val="F6FF99DE"/>
    <w:rsid w:val="F73F19B2"/>
    <w:rsid w:val="F772A964"/>
    <w:rsid w:val="F77E9978"/>
    <w:rsid w:val="F783F05E"/>
    <w:rsid w:val="F7BC8745"/>
    <w:rsid w:val="F7C38F43"/>
    <w:rsid w:val="F7DB5548"/>
    <w:rsid w:val="F7EBE53C"/>
    <w:rsid w:val="F7F73391"/>
    <w:rsid w:val="F7FBA641"/>
    <w:rsid w:val="F7FFB719"/>
    <w:rsid w:val="F9727BE8"/>
    <w:rsid w:val="F9B60C06"/>
    <w:rsid w:val="F9F608DC"/>
    <w:rsid w:val="F9FAD8BF"/>
    <w:rsid w:val="FB0DDA02"/>
    <w:rsid w:val="FB2F790E"/>
    <w:rsid w:val="FBBFB79D"/>
    <w:rsid w:val="FBBFFAFF"/>
    <w:rsid w:val="FBF0B5C6"/>
    <w:rsid w:val="FBF72C08"/>
    <w:rsid w:val="FCB9FAC1"/>
    <w:rsid w:val="FCFB9AA0"/>
    <w:rsid w:val="FD7F3F5C"/>
    <w:rsid w:val="FD972D38"/>
    <w:rsid w:val="FDB61399"/>
    <w:rsid w:val="FDED6B39"/>
    <w:rsid w:val="FDF3009E"/>
    <w:rsid w:val="FDF6C23C"/>
    <w:rsid w:val="FDFA8D19"/>
    <w:rsid w:val="FDFB25DD"/>
    <w:rsid w:val="FDFF2EA2"/>
    <w:rsid w:val="FDFF9769"/>
    <w:rsid w:val="FECF4522"/>
    <w:rsid w:val="FEDFB1C7"/>
    <w:rsid w:val="FEF75778"/>
    <w:rsid w:val="FEFD015D"/>
    <w:rsid w:val="FF770E38"/>
    <w:rsid w:val="FFAFA38E"/>
    <w:rsid w:val="FFB8A450"/>
    <w:rsid w:val="FFBD9900"/>
    <w:rsid w:val="FFCBA749"/>
    <w:rsid w:val="FFCF72DF"/>
    <w:rsid w:val="FFDF711A"/>
    <w:rsid w:val="FFF37FFC"/>
    <w:rsid w:val="FFF4C645"/>
    <w:rsid w:val="FFF6161C"/>
    <w:rsid w:val="FFF7DE59"/>
    <w:rsid w:val="FFF934B2"/>
    <w:rsid w:val="FFFD7724"/>
    <w:rsid w:val="FFFF17BA"/>
    <w:rsid w:val="FFFFFD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Ascii" w:hAnsiTheme="minorAscii" w:eastAsiaTheme="minorEastAsia" w:cstheme="minorBidi"/>
      <w:kern w:val="2"/>
      <w:sz w:val="21"/>
      <w:szCs w:val="22"/>
      <w:lang w:val="en-US" w:eastAsia="zh-CN" w:bidi="ar-SA"/>
    </w:rPr>
  </w:style>
  <w:style w:type="paragraph" w:styleId="2">
    <w:name w:val="heading 1"/>
    <w:basedOn w:val="1"/>
    <w:next w:val="1"/>
    <w:link w:val="28"/>
    <w:autoRedefine/>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1"/>
    <w:next w:val="1"/>
    <w:link w:val="30"/>
    <w:autoRedefine/>
    <w:unhideWhenUsed/>
    <w:qFormat/>
    <w:uiPriority w:val="9"/>
    <w:pPr>
      <w:keepNext/>
      <w:keepLines/>
      <w:tabs>
        <w:tab w:val="left" w:pos="612"/>
      </w:tab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1"/>
    <w:next w:val="1"/>
    <w:link w:val="31"/>
    <w:autoRedefine/>
    <w:unhideWhenUsed/>
    <w:qFormat/>
    <w:uiPriority w:val="9"/>
    <w:pPr>
      <w:keepNext/>
      <w:keepLines/>
      <w:numPr>
        <w:ilvl w:val="2"/>
        <w:numId w:val="1"/>
      </w:numPr>
      <w:tabs>
        <w:tab w:val="left" w:pos="612"/>
      </w:tabs>
      <w:spacing w:before="260" w:after="260" w:line="416" w:lineRule="auto"/>
      <w:outlineLvl w:val="2"/>
    </w:pPr>
    <w:rPr>
      <w:sz w:val="32"/>
      <w:szCs w:val="32"/>
    </w:rPr>
  </w:style>
  <w:style w:type="paragraph" w:styleId="5">
    <w:name w:val="heading 4"/>
    <w:basedOn w:val="4"/>
    <w:next w:val="6"/>
    <w:link w:val="36"/>
    <w:autoRedefine/>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8">
    <w:name w:val="heading 5"/>
    <w:basedOn w:val="5"/>
    <w:next w:val="1"/>
    <w:link w:val="37"/>
    <w:autoRedefine/>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9">
    <w:name w:val="heading 6"/>
    <w:basedOn w:val="1"/>
    <w:next w:val="1"/>
    <w:link w:val="38"/>
    <w:autoRedefine/>
    <w:qFormat/>
    <w:uiPriority w:val="0"/>
    <w:pPr>
      <w:keepNext/>
      <w:keepLines/>
      <w:widowControl/>
      <w:numPr>
        <w:ilvl w:val="5"/>
        <w:numId w:val="1"/>
      </w:numPr>
      <w:spacing w:before="240" w:after="64" w:line="320" w:lineRule="auto"/>
      <w:jc w:val="left"/>
      <w:outlineLvl w:val="5"/>
    </w:pPr>
    <w:rPr>
      <w:rFonts w:ascii="Arial" w:hAnsi="Arial" w:eastAsia="黑体" w:cs="Times New Roman"/>
      <w:b/>
      <w:bCs/>
      <w:kern w:val="0"/>
      <w:sz w:val="24"/>
      <w:szCs w:val="24"/>
      <w:lang w:eastAsia="en-US"/>
    </w:rPr>
  </w:style>
  <w:style w:type="paragraph" w:styleId="10">
    <w:name w:val="heading 7"/>
    <w:basedOn w:val="1"/>
    <w:next w:val="1"/>
    <w:link w:val="39"/>
    <w:autoRedefine/>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1">
    <w:name w:val="heading 8"/>
    <w:basedOn w:val="1"/>
    <w:next w:val="1"/>
    <w:link w:val="40"/>
    <w:autoRedefine/>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2">
    <w:name w:val="heading 9"/>
    <w:basedOn w:val="1"/>
    <w:next w:val="1"/>
    <w:link w:val="41"/>
    <w:autoRedefine/>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5">
    <w:name w:val="Default Paragraph Font"/>
    <w:autoRedefine/>
    <w:semiHidden/>
    <w:unhideWhenUsed/>
    <w:qFormat/>
    <w:uiPriority w:val="1"/>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customStyle="1" w:styleId="6">
    <w:name w:val="Doc-title"/>
    <w:basedOn w:val="1"/>
    <w:next w:val="7"/>
    <w:autoRedefine/>
    <w:qFormat/>
    <w:uiPriority w:val="0"/>
    <w:pPr>
      <w:spacing w:before="60"/>
      <w:ind w:left="1259" w:hanging="1259"/>
    </w:pPr>
  </w:style>
  <w:style w:type="paragraph" w:customStyle="1" w:styleId="7">
    <w:name w:val="Doc-text2"/>
    <w:basedOn w:val="1"/>
    <w:autoRedefine/>
    <w:qFormat/>
    <w:uiPriority w:val="0"/>
    <w:pPr>
      <w:tabs>
        <w:tab w:val="left" w:pos="1622"/>
      </w:tabs>
      <w:spacing w:before="0"/>
      <w:ind w:left="1622" w:hanging="363"/>
    </w:pPr>
  </w:style>
  <w:style w:type="paragraph" w:styleId="13">
    <w:name w:val="caption"/>
    <w:basedOn w:val="1"/>
    <w:next w:val="1"/>
    <w:link w:val="33"/>
    <w:autoRedefine/>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4">
    <w:name w:val="annotation text"/>
    <w:basedOn w:val="1"/>
    <w:link w:val="47"/>
    <w:autoRedefine/>
    <w:semiHidden/>
    <w:unhideWhenUsed/>
    <w:qFormat/>
    <w:uiPriority w:val="99"/>
    <w:pPr>
      <w:jc w:val="left"/>
    </w:pPr>
  </w:style>
  <w:style w:type="paragraph" w:styleId="15">
    <w:name w:val="Body Text"/>
    <w:basedOn w:val="1"/>
    <w:qFormat/>
    <w:uiPriority w:val="0"/>
    <w:pPr>
      <w:spacing w:before="180" w:after="180"/>
    </w:pPr>
  </w:style>
  <w:style w:type="paragraph" w:styleId="16">
    <w:name w:val="List 2"/>
    <w:basedOn w:val="17"/>
    <w:autoRedefine/>
    <w:qFormat/>
    <w:uiPriority w:val="0"/>
    <w:pPr>
      <w:ind w:left="851"/>
    </w:pPr>
  </w:style>
  <w:style w:type="paragraph" w:styleId="17">
    <w:name w:val="List"/>
    <w:basedOn w:val="1"/>
    <w:autoRedefine/>
    <w:qFormat/>
    <w:uiPriority w:val="0"/>
    <w:pPr>
      <w:ind w:left="568" w:hanging="284"/>
    </w:pPr>
  </w:style>
  <w:style w:type="paragraph" w:styleId="18">
    <w:name w:val="Balloon Text"/>
    <w:basedOn w:val="1"/>
    <w:link w:val="49"/>
    <w:autoRedefine/>
    <w:semiHidden/>
    <w:unhideWhenUsed/>
    <w:qFormat/>
    <w:uiPriority w:val="99"/>
    <w:rPr>
      <w:sz w:val="18"/>
      <w:szCs w:val="18"/>
    </w:rPr>
  </w:style>
  <w:style w:type="paragraph" w:styleId="19">
    <w:name w:val="footer"/>
    <w:basedOn w:val="1"/>
    <w:link w:val="46"/>
    <w:autoRedefine/>
    <w:unhideWhenUsed/>
    <w:qFormat/>
    <w:uiPriority w:val="99"/>
    <w:pPr>
      <w:tabs>
        <w:tab w:val="center" w:pos="4153"/>
        <w:tab w:val="right" w:pos="8306"/>
      </w:tabs>
      <w:snapToGrid w:val="0"/>
      <w:jc w:val="left"/>
    </w:pPr>
    <w:rPr>
      <w:sz w:val="18"/>
      <w:szCs w:val="18"/>
    </w:rPr>
  </w:style>
  <w:style w:type="paragraph" w:styleId="20">
    <w:name w:val="header"/>
    <w:basedOn w:val="1"/>
    <w:link w:val="45"/>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Normal (Web)"/>
    <w:basedOn w:val="1"/>
    <w:autoRedefine/>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2">
    <w:name w:val="annotation subject"/>
    <w:basedOn w:val="14"/>
    <w:next w:val="14"/>
    <w:link w:val="48"/>
    <w:autoRedefine/>
    <w:semiHidden/>
    <w:unhideWhenUsed/>
    <w:qFormat/>
    <w:uiPriority w:val="99"/>
    <w:rPr>
      <w:b/>
      <w:bCs/>
    </w:rPr>
  </w:style>
  <w:style w:type="table" w:styleId="24">
    <w:name w:val="Table Grid"/>
    <w:basedOn w:val="2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22"/>
    <w:rPr>
      <w:b/>
    </w:rPr>
  </w:style>
  <w:style w:type="character" w:styleId="27">
    <w:name w:val="annotation reference"/>
    <w:basedOn w:val="25"/>
    <w:autoRedefine/>
    <w:unhideWhenUsed/>
    <w:qFormat/>
    <w:uiPriority w:val="99"/>
    <w:rPr>
      <w:sz w:val="16"/>
      <w:szCs w:val="16"/>
    </w:rPr>
  </w:style>
  <w:style w:type="character" w:customStyle="1" w:styleId="28">
    <w:name w:val="标题 1 字符"/>
    <w:basedOn w:val="25"/>
    <w:link w:val="2"/>
    <w:autoRedefine/>
    <w:qFormat/>
    <w:uiPriority w:val="0"/>
    <w:rPr>
      <w:rFonts w:ascii="Arial" w:hAnsi="Arial" w:eastAsia="宋体" w:cs="Times New Roman"/>
      <w:b/>
      <w:kern w:val="0"/>
      <w:sz w:val="28"/>
      <w:szCs w:val="20"/>
      <w:lang w:val="en-GB" w:eastAsia="en-US"/>
    </w:rPr>
  </w:style>
  <w:style w:type="paragraph" w:customStyle="1" w:styleId="29">
    <w:name w:val="References"/>
    <w:basedOn w:val="1"/>
    <w:autoRedefine/>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0">
    <w:name w:val="标题 2 字符"/>
    <w:basedOn w:val="25"/>
    <w:link w:val="3"/>
    <w:autoRedefine/>
    <w:qFormat/>
    <w:uiPriority w:val="9"/>
    <w:rPr>
      <w:rFonts w:eastAsia="Times New Roman" w:asciiTheme="majorHAnsi" w:hAnsiTheme="majorHAnsi" w:cstheme="majorBidi"/>
      <w:b/>
      <w:bCs/>
      <w:sz w:val="18"/>
      <w:szCs w:val="32"/>
    </w:rPr>
  </w:style>
  <w:style w:type="character" w:customStyle="1" w:styleId="31">
    <w:name w:val="标题 3 字符"/>
    <w:basedOn w:val="25"/>
    <w:link w:val="4"/>
    <w:autoRedefine/>
    <w:semiHidden/>
    <w:qFormat/>
    <w:uiPriority w:val="9"/>
    <w:rPr>
      <w:rFonts w:asciiTheme="minorHAnsi" w:hAnsiTheme="minorHAnsi" w:eastAsiaTheme="minorEastAsia"/>
      <w:b/>
      <w:bCs/>
      <w:sz w:val="32"/>
      <w:szCs w:val="32"/>
    </w:rPr>
  </w:style>
  <w:style w:type="paragraph" w:customStyle="1" w:styleId="32">
    <w:name w:val="3GPP_Header"/>
    <w:basedOn w:val="1"/>
    <w:autoRedefine/>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3">
    <w:name w:val="题注 字符"/>
    <w:link w:val="13"/>
    <w:qFormat/>
    <w:locked/>
    <w:uiPriority w:val="35"/>
    <w:rPr>
      <w:rFonts w:ascii="Times New Roman" w:hAnsi="Times New Roman" w:eastAsia="Times New Roman" w:cs="Times New Roman"/>
      <w:b/>
      <w:bCs/>
      <w:kern w:val="0"/>
      <w:sz w:val="24"/>
      <w:szCs w:val="24"/>
      <w:lang w:eastAsia="en-US"/>
    </w:rPr>
  </w:style>
  <w:style w:type="paragraph" w:styleId="34">
    <w:name w:val="List Paragraph"/>
    <w:basedOn w:val="1"/>
    <w:link w:val="35"/>
    <w:autoRedefine/>
    <w:qFormat/>
    <w:uiPriority w:val="34"/>
    <w:pPr>
      <w:widowControl/>
      <w:ind w:left="720"/>
      <w:jc w:val="left"/>
    </w:pPr>
    <w:rPr>
      <w:rFonts w:ascii="Calibri" w:hAnsi="Calibri" w:eastAsia="Calibri" w:cs="Times New Roman"/>
      <w:kern w:val="0"/>
      <w:sz w:val="22"/>
      <w:lang w:eastAsia="en-US"/>
    </w:rPr>
  </w:style>
  <w:style w:type="character" w:customStyle="1" w:styleId="35">
    <w:name w:val="列出段落 字符"/>
    <w:link w:val="34"/>
    <w:autoRedefine/>
    <w:qFormat/>
    <w:locked/>
    <w:uiPriority w:val="34"/>
    <w:rPr>
      <w:rFonts w:ascii="Calibri" w:hAnsi="Calibri" w:eastAsia="Calibri" w:cs="Times New Roman"/>
      <w:kern w:val="0"/>
      <w:sz w:val="22"/>
      <w:lang w:eastAsia="en-US"/>
    </w:rPr>
  </w:style>
  <w:style w:type="character" w:customStyle="1" w:styleId="36">
    <w:name w:val="标题 4 字符"/>
    <w:basedOn w:val="25"/>
    <w:link w:val="5"/>
    <w:qFormat/>
    <w:uiPriority w:val="0"/>
    <w:rPr>
      <w:rFonts w:ascii="Times New Roman" w:hAnsi="Times New Roman" w:eastAsia="MS Mincho" w:cs="Times New Roman"/>
      <w:b/>
      <w:bCs/>
      <w:kern w:val="0"/>
      <w:sz w:val="28"/>
      <w:szCs w:val="28"/>
      <w:lang w:eastAsia="en-US"/>
    </w:rPr>
  </w:style>
  <w:style w:type="character" w:customStyle="1" w:styleId="37">
    <w:name w:val="标题 5 字符"/>
    <w:basedOn w:val="25"/>
    <w:link w:val="8"/>
    <w:autoRedefine/>
    <w:qFormat/>
    <w:uiPriority w:val="0"/>
    <w:rPr>
      <w:rFonts w:ascii="Times New Roman" w:hAnsi="Times New Roman" w:eastAsia="Times New Roman" w:cs="Times New Roman"/>
      <w:b/>
      <w:bCs/>
      <w:kern w:val="0"/>
      <w:sz w:val="28"/>
      <w:szCs w:val="28"/>
      <w:lang w:eastAsia="en-US"/>
    </w:rPr>
  </w:style>
  <w:style w:type="character" w:customStyle="1" w:styleId="38">
    <w:name w:val="标题 6 字符"/>
    <w:basedOn w:val="25"/>
    <w:link w:val="9"/>
    <w:autoRedefine/>
    <w:qFormat/>
    <w:uiPriority w:val="0"/>
    <w:rPr>
      <w:rFonts w:ascii="Arial" w:hAnsi="Arial" w:eastAsia="黑体" w:cs="Times New Roman"/>
      <w:b/>
      <w:bCs/>
      <w:kern w:val="0"/>
      <w:sz w:val="24"/>
      <w:szCs w:val="24"/>
      <w:lang w:eastAsia="en-US"/>
    </w:rPr>
  </w:style>
  <w:style w:type="character" w:customStyle="1" w:styleId="39">
    <w:name w:val="标题 7 字符"/>
    <w:basedOn w:val="25"/>
    <w:link w:val="10"/>
    <w:autoRedefine/>
    <w:qFormat/>
    <w:uiPriority w:val="0"/>
    <w:rPr>
      <w:rFonts w:ascii="Times New Roman" w:hAnsi="Times New Roman" w:eastAsia="Times New Roman" w:cs="Times New Roman"/>
      <w:b/>
      <w:bCs/>
      <w:kern w:val="0"/>
      <w:sz w:val="24"/>
      <w:szCs w:val="24"/>
      <w:lang w:eastAsia="en-US"/>
    </w:rPr>
  </w:style>
  <w:style w:type="character" w:customStyle="1" w:styleId="40">
    <w:name w:val="标题 8 字符"/>
    <w:basedOn w:val="25"/>
    <w:link w:val="11"/>
    <w:autoRedefine/>
    <w:qFormat/>
    <w:uiPriority w:val="0"/>
    <w:rPr>
      <w:rFonts w:ascii="Arial" w:hAnsi="Arial" w:eastAsia="黑体" w:cs="Times New Roman"/>
      <w:kern w:val="0"/>
      <w:sz w:val="24"/>
      <w:szCs w:val="24"/>
      <w:lang w:eastAsia="en-US"/>
    </w:rPr>
  </w:style>
  <w:style w:type="character" w:customStyle="1" w:styleId="41">
    <w:name w:val="标题 9 字符"/>
    <w:basedOn w:val="25"/>
    <w:link w:val="12"/>
    <w:autoRedefine/>
    <w:qFormat/>
    <w:uiPriority w:val="0"/>
    <w:rPr>
      <w:rFonts w:ascii="Arial" w:hAnsi="Arial" w:eastAsia="黑体" w:cs="Times New Roman"/>
      <w:kern w:val="0"/>
      <w:szCs w:val="21"/>
      <w:lang w:eastAsia="en-US"/>
    </w:rPr>
  </w:style>
  <w:style w:type="paragraph" w:customStyle="1" w:styleId="42">
    <w:name w:val="tah"/>
    <w:basedOn w:val="1"/>
    <w:autoRedefine/>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3">
    <w:name w:val="B1"/>
    <w:basedOn w:val="17"/>
    <w:autoRedefine/>
    <w:qFormat/>
    <w:uiPriority w:val="0"/>
    <w:pPr>
      <w:ind w:left="568" w:hanging="284"/>
    </w:pPr>
  </w:style>
  <w:style w:type="paragraph" w:customStyle="1" w:styleId="44">
    <w:name w:val="NO"/>
    <w:basedOn w:val="1"/>
    <w:autoRedefine/>
    <w:qFormat/>
    <w:uiPriority w:val="0"/>
    <w:pPr>
      <w:keepLines/>
      <w:ind w:left="1135" w:hanging="851"/>
    </w:pPr>
  </w:style>
  <w:style w:type="character" w:customStyle="1" w:styleId="45">
    <w:name w:val="页眉 字符"/>
    <w:basedOn w:val="25"/>
    <w:link w:val="20"/>
    <w:autoRedefine/>
    <w:qFormat/>
    <w:uiPriority w:val="99"/>
    <w:rPr>
      <w:rFonts w:asciiTheme="minorHAnsi" w:hAnsiTheme="minorHAnsi" w:eastAsiaTheme="minorEastAsia" w:cstheme="minorBidi"/>
      <w:kern w:val="2"/>
      <w:sz w:val="18"/>
      <w:szCs w:val="18"/>
    </w:rPr>
  </w:style>
  <w:style w:type="character" w:customStyle="1" w:styleId="46">
    <w:name w:val="页脚 字符"/>
    <w:basedOn w:val="25"/>
    <w:link w:val="19"/>
    <w:autoRedefine/>
    <w:qFormat/>
    <w:uiPriority w:val="99"/>
    <w:rPr>
      <w:rFonts w:asciiTheme="minorHAnsi" w:hAnsiTheme="minorHAnsi" w:eastAsiaTheme="minorEastAsia" w:cstheme="minorBidi"/>
      <w:kern w:val="2"/>
      <w:sz w:val="18"/>
      <w:szCs w:val="18"/>
    </w:rPr>
  </w:style>
  <w:style w:type="character" w:customStyle="1" w:styleId="47">
    <w:name w:val="批注文字 字符"/>
    <w:basedOn w:val="25"/>
    <w:link w:val="14"/>
    <w:semiHidden/>
    <w:qFormat/>
    <w:uiPriority w:val="99"/>
    <w:rPr>
      <w:rFonts w:asciiTheme="minorHAnsi" w:hAnsiTheme="minorHAnsi" w:eastAsiaTheme="minorEastAsia" w:cstheme="minorBidi"/>
      <w:kern w:val="2"/>
      <w:sz w:val="21"/>
      <w:szCs w:val="22"/>
    </w:rPr>
  </w:style>
  <w:style w:type="character" w:customStyle="1" w:styleId="48">
    <w:name w:val="批注主题 字符"/>
    <w:basedOn w:val="47"/>
    <w:link w:val="22"/>
    <w:semiHidden/>
    <w:qFormat/>
    <w:uiPriority w:val="99"/>
    <w:rPr>
      <w:rFonts w:asciiTheme="minorHAnsi" w:hAnsiTheme="minorHAnsi" w:eastAsiaTheme="minorEastAsia" w:cstheme="minorBidi"/>
      <w:b/>
      <w:bCs/>
      <w:kern w:val="2"/>
      <w:sz w:val="21"/>
      <w:szCs w:val="22"/>
    </w:rPr>
  </w:style>
  <w:style w:type="character" w:customStyle="1" w:styleId="49">
    <w:name w:val="批注框文本 字符"/>
    <w:basedOn w:val="25"/>
    <w:link w:val="18"/>
    <w:semiHidden/>
    <w:qFormat/>
    <w:uiPriority w:val="99"/>
    <w:rPr>
      <w:rFonts w:asciiTheme="minorHAnsi" w:hAnsiTheme="minorHAnsi" w:eastAsiaTheme="minorEastAsia" w:cstheme="minorBidi"/>
      <w:kern w:val="2"/>
      <w:sz w:val="18"/>
      <w:szCs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1">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2">
    <w:name w:val="Comments"/>
    <w:basedOn w:val="1"/>
    <w:qFormat/>
    <w:uiPriority w:val="0"/>
    <w:rPr>
      <w:i/>
      <w:sz w:val="18"/>
    </w:rPr>
  </w:style>
  <w:style w:type="paragraph" w:customStyle="1" w:styleId="53">
    <w:name w:val="Agreement"/>
    <w:basedOn w:val="1"/>
    <w:next w:val="7"/>
    <w:qFormat/>
    <w:uiPriority w:val="0"/>
    <w:pPr>
      <w:numPr>
        <w:ilvl w:val="0"/>
        <w:numId w:val="2"/>
      </w:numPr>
      <w:tabs>
        <w:tab w:val="left" w:pos="1619"/>
        <w:tab w:val="clear" w:pos="1352"/>
      </w:tabs>
      <w:spacing w:after="0"/>
      <w:ind w:left="1619"/>
      <w:jc w:val="left"/>
    </w:pPr>
    <w:rPr>
      <w:rFonts w:eastAsia="MS Mincho"/>
      <w:b/>
      <w:szCs w:val="24"/>
      <w:lang w:val="en-GB" w:eastAsia="en-GB"/>
    </w:rPr>
  </w:style>
  <w:style w:type="paragraph" w:customStyle="1" w:styleId="54">
    <w:name w:val="B2"/>
    <w:basedOn w:val="16"/>
    <w:qFormat/>
    <w:uiPriority w:val="0"/>
    <w:pPr>
      <w:ind w:left="851" w:hanging="284"/>
    </w:pPr>
  </w:style>
  <w:style w:type="paragraph" w:customStyle="1" w:styleId="55">
    <w:name w:val="Guidance"/>
    <w:basedOn w:val="1"/>
    <w:qFormat/>
    <w:uiPriority w:val="0"/>
    <w:pPr>
      <w:textAlignment w:val="auto"/>
    </w:pPr>
    <w:rPr>
      <w:rFonts w:eastAsia="Times New Roman"/>
      <w:i/>
      <w:color w:val="000000"/>
      <w:lang w:eastAsia="ja-JP"/>
    </w:rPr>
  </w:style>
  <w:style w:type="paragraph" w:customStyle="1" w:styleId="56">
    <w:name w:val="CR Cover Page"/>
    <w:qFormat/>
    <w:uiPriority w:val="0"/>
    <w:pPr>
      <w:spacing w:after="120"/>
    </w:pPr>
    <w:rPr>
      <w:rFonts w:ascii="Arial" w:hAnsi="Arial" w:eastAsia="宋体" w:cs="Times New Roman"/>
      <w:lang w:val="en-GB" w:eastAsia="en-US" w:bidi="ar-SA"/>
    </w:rPr>
  </w:style>
  <w:style w:type="paragraph" w:customStyle="1" w:styleId="57">
    <w:name w:val="TH"/>
    <w:basedOn w:val="1"/>
    <w:autoRedefine/>
    <w:qFormat/>
    <w:uiPriority w:val="0"/>
    <w:pPr>
      <w:keepNext/>
      <w:keepLines/>
      <w:spacing w:before="60"/>
      <w:jc w:val="center"/>
    </w:pPr>
    <w:rPr>
      <w:rFonts w:ascii="Arial" w:hAnsi="Arial"/>
      <w:b/>
    </w:rPr>
  </w:style>
  <w:style w:type="paragraph" w:customStyle="1" w:styleId="58">
    <w:name w:val="TF"/>
    <w:basedOn w:val="57"/>
    <w:autoRedefine/>
    <w:qFormat/>
    <w:uiPriority w:val="0"/>
    <w:pPr>
      <w:keepNext w:val="0"/>
      <w:spacing w:before="0" w:after="240"/>
    </w:pPr>
  </w:style>
  <w:style w:type="paragraph" w:customStyle="1" w:styleId="59">
    <w:name w:val="First Paragraph"/>
    <w:basedOn w:val="15"/>
    <w:next w:val="15"/>
    <w:qFormat/>
    <w:uiPriority w:val="0"/>
  </w:style>
  <w:style w:type="paragraph" w:customStyle="1" w:styleId="60">
    <w:name w:val="Compact"/>
    <w:basedOn w:val="15"/>
    <w:qFormat/>
    <w:uiPriority w:val="0"/>
    <w:pPr>
      <w:spacing w:before="36" w:after="36"/>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1173</Words>
  <Characters>6343</Characters>
  <Lines>84</Lines>
  <Paragraphs>23</Paragraphs>
  <TotalTime>1</TotalTime>
  <ScaleCrop>false</ScaleCrop>
  <LinksUpToDate>false</LinksUpToDate>
  <CharactersWithSpaces>8372</CharactersWithSpaces>
  <Application>WPS Office_6.13.2.8918_F1E327BC-269C-435d-A152-05C5408002CA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2022-03-21T02:40:00Z</dcterms:created>
  <dc:creator>tcl</dc:creator>
  <cp:lastModifiedBy>TCL</cp:lastModifiedBy>
  <dcterms:modified xsi:type="dcterms:W3CDTF">2025-09-29T19:08:44Z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2052-6.13.2.8918</vt:lpwstr>
  </property>
  <property fmtid="{D5CDD505-2E9C-101B-9397-08002B2CF9AE}" pid="3" name="ICV">
    <vt:lpwstr>547C3AE71D2443FABC68DA6812FD224E_43</vt:lpwstr>
  </property>
</Properties>
</file>